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66E037C6">
        <w:tc>
          <w:tcPr>
            <w:tcW w:w="0" w:type="auto"/>
          </w:tcPr>
          <w:p w14:paraId="58655520" w14:textId="6403B583" w:rsidR="007D0DCD" w:rsidRPr="007D0DCD" w:rsidRDefault="2B683563" w:rsidP="007D0DCD">
            <w:pPr>
              <w:rPr>
                <w:rFonts w:ascii="Calibri" w:eastAsia="Times New Roman" w:hAnsi="Calibri"/>
                <w:sz w:val="72"/>
                <w:szCs w:val="72"/>
              </w:rPr>
            </w:pPr>
            <w:r w:rsidRPr="66E037C6">
              <w:rPr>
                <w:rFonts w:ascii="Calibri" w:eastAsia="Times New Roman" w:hAnsi="Calibri"/>
                <w:sz w:val="72"/>
                <w:szCs w:val="72"/>
              </w:rPr>
              <w:t>The Trust</w:t>
            </w:r>
          </w:p>
        </w:tc>
      </w:tr>
      <w:tr w:rsidR="007D0DCD" w:rsidRPr="007D0DCD" w14:paraId="7952093F" w14:textId="77777777" w:rsidTr="66E037C6">
        <w:tc>
          <w:tcPr>
            <w:tcW w:w="0" w:type="auto"/>
          </w:tcPr>
          <w:p w14:paraId="325EC901" w14:textId="636B08B8" w:rsidR="007D0DCD" w:rsidRPr="007D0DCD" w:rsidRDefault="009B3B88" w:rsidP="00BA5AF4">
            <w:pPr>
              <w:rPr>
                <w:rFonts w:ascii="Calibri" w:eastAsia="Times New Roman" w:hAnsi="Calibri"/>
                <w:sz w:val="40"/>
                <w:szCs w:val="40"/>
              </w:rPr>
            </w:pPr>
            <w:r w:rsidRPr="00FA1DEC">
              <w:rPr>
                <w:rFonts w:ascii="Calibri" w:eastAsia="Times New Roman" w:hAnsi="Calibri"/>
                <w:color w:val="4F6228" w:themeColor="accent3" w:themeShade="80"/>
                <w:sz w:val="40"/>
                <w:szCs w:val="40"/>
              </w:rPr>
              <w:t>Mutual Exchange, Assignment and Succession Policy</w:t>
            </w:r>
          </w:p>
        </w:tc>
      </w:tr>
      <w:tr w:rsidR="007D0DCD" w:rsidRPr="007D0DCD" w14:paraId="4DB85CCC" w14:textId="77777777" w:rsidTr="66E037C6">
        <w:tc>
          <w:tcPr>
            <w:tcW w:w="0" w:type="auto"/>
          </w:tcPr>
          <w:p w14:paraId="5B39A694" w14:textId="524D60D7" w:rsidR="00B54DF7" w:rsidRPr="00B54DF7" w:rsidRDefault="00DD6A8A" w:rsidP="00FA1DEC">
            <w:pPr>
              <w:jc w:val="left"/>
              <w:rPr>
                <w:rFonts w:ascii="Calibri" w:eastAsia="Times New Roman" w:hAnsi="Calibri"/>
                <w:i/>
                <w:iCs/>
                <w:color w:val="A6A6A6" w:themeColor="background1" w:themeShade="A6"/>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FA1DEC" w:rsidRPr="00FA1DEC">
              <w:rPr>
                <w:rFonts w:ascii="Calibri" w:eastAsia="Times New Roman" w:hAnsi="Calibri"/>
                <w:color w:val="4F6228" w:themeColor="accent3" w:themeShade="80"/>
                <w:sz w:val="28"/>
                <w:szCs w:val="28"/>
              </w:rPr>
              <w:t>4</w:t>
            </w:r>
          </w:p>
        </w:tc>
      </w:tr>
      <w:tr w:rsidR="007D0DCD" w:rsidRPr="007D0DCD" w14:paraId="32CFE814" w14:textId="77777777" w:rsidTr="66E037C6">
        <w:tc>
          <w:tcPr>
            <w:tcW w:w="0" w:type="auto"/>
          </w:tcPr>
          <w:p w14:paraId="09CAC1AF" w14:textId="77777777" w:rsidR="00FA1DEC" w:rsidRDefault="00DD6A8A" w:rsidP="00C9521D">
            <w:pPr>
              <w:jc w:val="left"/>
              <w:rPr>
                <w:rFonts w:ascii="Calibri" w:eastAsia="Times New Roman" w:hAnsi="Calibri"/>
                <w:sz w:val="28"/>
                <w:szCs w:val="28"/>
              </w:rPr>
            </w:pPr>
            <w:r>
              <w:rPr>
                <w:rFonts w:ascii="Calibri" w:eastAsia="Times New Roman" w:hAnsi="Calibri"/>
                <w:sz w:val="28"/>
                <w:szCs w:val="28"/>
              </w:rPr>
              <w:t>Effective Date:</w:t>
            </w:r>
            <w:r w:rsidR="00DE372B">
              <w:rPr>
                <w:rFonts w:ascii="Calibri" w:eastAsia="Times New Roman" w:hAnsi="Calibri"/>
                <w:sz w:val="28"/>
                <w:szCs w:val="28"/>
              </w:rPr>
              <w:t xml:space="preserve"> </w:t>
            </w:r>
          </w:p>
          <w:p w14:paraId="34CCE091" w14:textId="775F2143" w:rsidR="007D0DCD" w:rsidRPr="00B54DF7" w:rsidRDefault="00FA1DEC" w:rsidP="00C9521D">
            <w:pPr>
              <w:jc w:val="left"/>
              <w:rPr>
                <w:rFonts w:ascii="Calibri" w:eastAsia="Times New Roman" w:hAnsi="Calibri"/>
                <w:i/>
                <w:iCs/>
                <w:sz w:val="28"/>
                <w:szCs w:val="28"/>
              </w:rPr>
            </w:pPr>
            <w:r w:rsidRPr="00FA1DEC">
              <w:rPr>
                <w:rFonts w:ascii="Calibri" w:eastAsia="Times New Roman" w:hAnsi="Calibri"/>
                <w:color w:val="4F6228" w:themeColor="accent3" w:themeShade="80"/>
                <w:sz w:val="28"/>
                <w:szCs w:val="28"/>
              </w:rPr>
              <w:t>23</w:t>
            </w:r>
            <w:r w:rsidRPr="00FA1DEC">
              <w:rPr>
                <w:rFonts w:ascii="Calibri" w:eastAsia="Times New Roman" w:hAnsi="Calibri"/>
                <w:color w:val="4F6228" w:themeColor="accent3" w:themeShade="80"/>
                <w:sz w:val="28"/>
                <w:szCs w:val="28"/>
                <w:vertAlign w:val="superscript"/>
              </w:rPr>
              <w:t>rd</w:t>
            </w:r>
            <w:r w:rsidRPr="00FA1DEC">
              <w:rPr>
                <w:rFonts w:ascii="Calibri" w:eastAsia="Times New Roman" w:hAnsi="Calibri"/>
                <w:color w:val="4F6228" w:themeColor="accent3" w:themeShade="80"/>
                <w:sz w:val="28"/>
                <w:szCs w:val="28"/>
              </w:rPr>
              <w:t xml:space="preserve"> </w:t>
            </w:r>
            <w:r w:rsidR="00C9521D" w:rsidRPr="00FA1DEC">
              <w:rPr>
                <w:rFonts w:ascii="Calibri" w:eastAsia="Times New Roman" w:hAnsi="Calibri"/>
                <w:color w:val="4F6228" w:themeColor="accent3" w:themeShade="80"/>
                <w:sz w:val="28"/>
                <w:szCs w:val="28"/>
              </w:rPr>
              <w:t>August 2024</w:t>
            </w:r>
          </w:p>
        </w:tc>
      </w:tr>
      <w:tr w:rsidR="007D0DCD" w:rsidRPr="007D0DCD" w14:paraId="437452AA" w14:textId="77777777" w:rsidTr="66E037C6">
        <w:tc>
          <w:tcPr>
            <w:tcW w:w="0" w:type="auto"/>
          </w:tcPr>
          <w:p w14:paraId="6D071317" w14:textId="77777777"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color w:val="2B579A"/>
          <w:szCs w:val="20"/>
          <w:shd w:val="clear" w:color="auto" w:fill="E6E6E6"/>
          <w:lang w:eastAsia="en-GB"/>
        </w:rPr>
        <w:drawing>
          <wp:inline distT="0" distB="0" distL="0" distR="0" wp14:anchorId="07552D2E" wp14:editId="69B2E86B">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453DEAC4" w:rsidR="007D0DCD" w:rsidRPr="007D0DCD" w:rsidRDefault="00C9521D" w:rsidP="007D0DCD">
      <w:pPr>
        <w:rPr>
          <w:rFonts w:ascii="Calibri" w:eastAsia="Times New Roman" w:hAnsi="Calibri"/>
          <w:b/>
          <w:szCs w:val="20"/>
          <w:u w:val="single"/>
          <w:lang w:eastAsia="en-GB"/>
        </w:rPr>
      </w:pPr>
      <w:r>
        <w:rPr>
          <w:noProof/>
        </w:rPr>
        <w:drawing>
          <wp:inline distT="0" distB="0" distL="0" distR="0" wp14:anchorId="7364400F" wp14:editId="67FA7E00">
            <wp:extent cx="1905000" cy="196913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69135"/>
                    </a:xfrm>
                    <a:prstGeom prst="rect">
                      <a:avLst/>
                    </a:prstGeom>
                    <a:noFill/>
                    <a:ln>
                      <a:noFill/>
                    </a:ln>
                  </pic:spPr>
                </pic:pic>
              </a:graphicData>
            </a:graphic>
          </wp:inline>
        </w:drawing>
      </w: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777777" w:rsidR="007D0DCD" w:rsidRPr="007D0DCD" w:rsidRDefault="007D0DCD" w:rsidP="007D0DCD">
      <w:pPr>
        <w:rPr>
          <w:rFonts w:ascii="Calibri" w:eastAsia="Times New Roman" w:hAnsi="Calibri"/>
          <w:b/>
          <w:szCs w:val="20"/>
          <w:u w:val="single"/>
          <w:lang w:eastAsia="en-GB"/>
        </w:rPr>
      </w:pP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pgSz w:w="11906" w:h="16838"/>
          <w:pgMar w:top="1440" w:right="1800" w:bottom="1440" w:left="1800" w:header="708" w:footer="708" w:gutter="0"/>
          <w:cols w:space="708"/>
          <w:docGrid w:linePitch="360"/>
        </w:sectPr>
      </w:pPr>
    </w:p>
    <w:p w14:paraId="0531D3F1" w14:textId="2EA1BB67"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p>
    <w:p w14:paraId="639C80DE" w14:textId="77777777" w:rsidR="007D0DCD" w:rsidRPr="00DE372B" w:rsidRDefault="007D0DCD" w:rsidP="007D0DCD">
      <w:pPr>
        <w:rPr>
          <w:rFonts w:ascii="Calibri" w:eastAsia="Times New Roman" w:hAnsi="Calibri"/>
          <w:b/>
          <w:color w:val="FF0000"/>
          <w:szCs w:val="20"/>
          <w:u w:val="single"/>
          <w:lang w:eastAsia="en-GB"/>
        </w:rPr>
      </w:pPr>
    </w:p>
    <w:p w14:paraId="02947CD9" w14:textId="32C31AD1" w:rsidR="007B06DD" w:rsidRDefault="00D966BD">
      <w:pPr>
        <w:pStyle w:val="TOC1"/>
        <w:rPr>
          <w:rFonts w:asciiTheme="minorHAnsi" w:eastAsiaTheme="minorEastAsia" w:hAnsiTheme="minorHAnsi" w:cstheme="minorBidi"/>
          <w:b w:val="0"/>
          <w:caps w:val="0"/>
          <w:sz w:val="22"/>
          <w:szCs w:val="22"/>
          <w:lang w:eastAsia="en-GB"/>
        </w:rPr>
      </w:pPr>
      <w:r>
        <w:rPr>
          <w:rFonts w:eastAsia="Times New Roman" w:cs="Arial"/>
          <w:color w:val="2B579A"/>
          <w:szCs w:val="20"/>
          <w:shd w:val="clear" w:color="auto" w:fill="E6E6E6"/>
        </w:rPr>
        <w:fldChar w:fldCharType="begin"/>
      </w:r>
      <w:r>
        <w:rPr>
          <w:rFonts w:eastAsia="Times New Roman" w:cs="Arial"/>
          <w:szCs w:val="20"/>
        </w:rPr>
        <w:instrText xml:space="preserve"> TOC \o "1-1" \t "Heading2,2" </w:instrText>
      </w:r>
      <w:r>
        <w:rPr>
          <w:rFonts w:eastAsia="Times New Roman" w:cs="Arial"/>
          <w:color w:val="2B579A"/>
          <w:szCs w:val="20"/>
          <w:shd w:val="clear" w:color="auto" w:fill="E6E6E6"/>
        </w:rPr>
        <w:fldChar w:fldCharType="separate"/>
      </w:r>
      <w:r w:rsidR="007B06DD">
        <w:t>INTRODUCTION</w:t>
      </w:r>
      <w:r w:rsidR="007B06DD">
        <w:tab/>
      </w:r>
      <w:r w:rsidR="007B06DD">
        <w:rPr>
          <w:color w:val="2B579A"/>
          <w:shd w:val="clear" w:color="auto" w:fill="E6E6E6"/>
        </w:rPr>
        <w:fldChar w:fldCharType="begin"/>
      </w:r>
      <w:r w:rsidR="007B06DD">
        <w:instrText xml:space="preserve"> PAGEREF _Toc116910368 \h </w:instrText>
      </w:r>
      <w:r w:rsidR="007B06DD">
        <w:rPr>
          <w:color w:val="2B579A"/>
          <w:shd w:val="clear" w:color="auto" w:fill="E6E6E6"/>
        </w:rPr>
      </w:r>
      <w:r w:rsidR="007B06DD">
        <w:rPr>
          <w:color w:val="2B579A"/>
          <w:shd w:val="clear" w:color="auto" w:fill="E6E6E6"/>
        </w:rPr>
        <w:fldChar w:fldCharType="separate"/>
      </w:r>
      <w:r w:rsidR="00985CD0">
        <w:t>1</w:t>
      </w:r>
      <w:r w:rsidR="007B06DD">
        <w:rPr>
          <w:color w:val="2B579A"/>
          <w:shd w:val="clear" w:color="auto" w:fill="E6E6E6"/>
        </w:rPr>
        <w:fldChar w:fldCharType="end"/>
      </w:r>
    </w:p>
    <w:p w14:paraId="158646C9" w14:textId="534CC1A2" w:rsidR="007B06DD" w:rsidRDefault="007B06DD">
      <w:pPr>
        <w:pStyle w:val="TOC1"/>
        <w:rPr>
          <w:rFonts w:asciiTheme="minorHAnsi" w:eastAsiaTheme="minorEastAsia" w:hAnsiTheme="minorHAnsi" w:cstheme="minorBidi"/>
          <w:b w:val="0"/>
          <w:caps w:val="0"/>
          <w:sz w:val="22"/>
          <w:szCs w:val="22"/>
          <w:lang w:eastAsia="en-GB"/>
        </w:rPr>
      </w:pPr>
      <w:r>
        <w:t>scope</w:t>
      </w:r>
      <w:r>
        <w:tab/>
      </w:r>
      <w:r>
        <w:rPr>
          <w:color w:val="2B579A"/>
          <w:shd w:val="clear" w:color="auto" w:fill="E6E6E6"/>
        </w:rPr>
        <w:fldChar w:fldCharType="begin"/>
      </w:r>
      <w:r>
        <w:instrText xml:space="preserve"> PAGEREF _Toc116910369 \h </w:instrText>
      </w:r>
      <w:r>
        <w:rPr>
          <w:color w:val="2B579A"/>
          <w:shd w:val="clear" w:color="auto" w:fill="E6E6E6"/>
        </w:rPr>
      </w:r>
      <w:r>
        <w:rPr>
          <w:color w:val="2B579A"/>
          <w:shd w:val="clear" w:color="auto" w:fill="E6E6E6"/>
        </w:rPr>
        <w:fldChar w:fldCharType="separate"/>
      </w:r>
      <w:r w:rsidR="00985CD0">
        <w:t>1</w:t>
      </w:r>
      <w:r>
        <w:rPr>
          <w:color w:val="2B579A"/>
          <w:shd w:val="clear" w:color="auto" w:fill="E6E6E6"/>
        </w:rPr>
        <w:fldChar w:fldCharType="end"/>
      </w:r>
    </w:p>
    <w:p w14:paraId="5B56381B" w14:textId="0DA2BB45"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LEGAL &amp; REGULATORY REQUIREMENTS</w:t>
      </w:r>
      <w:r>
        <w:tab/>
      </w:r>
      <w:r>
        <w:rPr>
          <w:color w:val="2B579A"/>
          <w:shd w:val="clear" w:color="auto" w:fill="E6E6E6"/>
        </w:rPr>
        <w:fldChar w:fldCharType="begin"/>
      </w:r>
      <w:r>
        <w:instrText xml:space="preserve"> PAGEREF _Toc116910370 \h </w:instrText>
      </w:r>
      <w:r>
        <w:rPr>
          <w:color w:val="2B579A"/>
          <w:shd w:val="clear" w:color="auto" w:fill="E6E6E6"/>
        </w:rPr>
      </w:r>
      <w:r>
        <w:rPr>
          <w:color w:val="2B579A"/>
          <w:shd w:val="clear" w:color="auto" w:fill="E6E6E6"/>
        </w:rPr>
        <w:fldChar w:fldCharType="separate"/>
      </w:r>
      <w:r w:rsidR="00985CD0">
        <w:t>1</w:t>
      </w:r>
      <w:r>
        <w:rPr>
          <w:color w:val="2B579A"/>
          <w:shd w:val="clear" w:color="auto" w:fill="E6E6E6"/>
        </w:rPr>
        <w:fldChar w:fldCharType="end"/>
      </w:r>
    </w:p>
    <w:p w14:paraId="15B33F4D" w14:textId="3B434181"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definitions</w:t>
      </w:r>
      <w:r>
        <w:tab/>
      </w:r>
      <w:r>
        <w:rPr>
          <w:color w:val="2B579A"/>
          <w:shd w:val="clear" w:color="auto" w:fill="E6E6E6"/>
        </w:rPr>
        <w:fldChar w:fldCharType="begin"/>
      </w:r>
      <w:r>
        <w:instrText xml:space="preserve"> PAGEREF _Toc116910371 \h </w:instrText>
      </w:r>
      <w:r>
        <w:rPr>
          <w:color w:val="2B579A"/>
          <w:shd w:val="clear" w:color="auto" w:fill="E6E6E6"/>
        </w:rPr>
      </w:r>
      <w:r>
        <w:rPr>
          <w:color w:val="2B579A"/>
          <w:shd w:val="clear" w:color="auto" w:fill="E6E6E6"/>
        </w:rPr>
        <w:fldChar w:fldCharType="separate"/>
      </w:r>
      <w:r w:rsidR="00985CD0">
        <w:t>2</w:t>
      </w:r>
      <w:r>
        <w:rPr>
          <w:color w:val="2B579A"/>
          <w:shd w:val="clear" w:color="auto" w:fill="E6E6E6"/>
        </w:rPr>
        <w:fldChar w:fldCharType="end"/>
      </w:r>
    </w:p>
    <w:p w14:paraId="18901822" w14:textId="6BEA5961"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OUR POLICY</w:t>
      </w:r>
      <w:r>
        <w:tab/>
      </w:r>
      <w:r>
        <w:rPr>
          <w:color w:val="2B579A"/>
          <w:shd w:val="clear" w:color="auto" w:fill="E6E6E6"/>
        </w:rPr>
        <w:fldChar w:fldCharType="begin"/>
      </w:r>
      <w:r>
        <w:instrText xml:space="preserve"> PAGEREF _Toc116910372 \h </w:instrText>
      </w:r>
      <w:r>
        <w:rPr>
          <w:color w:val="2B579A"/>
          <w:shd w:val="clear" w:color="auto" w:fill="E6E6E6"/>
        </w:rPr>
      </w:r>
      <w:r>
        <w:rPr>
          <w:color w:val="2B579A"/>
          <w:shd w:val="clear" w:color="auto" w:fill="E6E6E6"/>
        </w:rPr>
        <w:fldChar w:fldCharType="separate"/>
      </w:r>
      <w:r w:rsidR="00985CD0">
        <w:t>2</w:t>
      </w:r>
      <w:r>
        <w:rPr>
          <w:color w:val="2B579A"/>
          <w:shd w:val="clear" w:color="auto" w:fill="E6E6E6"/>
        </w:rPr>
        <w:fldChar w:fldCharType="end"/>
      </w:r>
    </w:p>
    <w:p w14:paraId="6AFA9BCD" w14:textId="2B2A406D"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EQUALITY, DIVERSITY &amp; INCLUSION</w:t>
      </w:r>
      <w:r>
        <w:tab/>
      </w:r>
      <w:r>
        <w:rPr>
          <w:color w:val="2B579A"/>
          <w:shd w:val="clear" w:color="auto" w:fill="E6E6E6"/>
        </w:rPr>
        <w:fldChar w:fldCharType="begin"/>
      </w:r>
      <w:r>
        <w:instrText xml:space="preserve"> PAGEREF _Toc116910373 \h </w:instrText>
      </w:r>
      <w:r>
        <w:rPr>
          <w:color w:val="2B579A"/>
          <w:shd w:val="clear" w:color="auto" w:fill="E6E6E6"/>
        </w:rPr>
      </w:r>
      <w:r>
        <w:rPr>
          <w:color w:val="2B579A"/>
          <w:shd w:val="clear" w:color="auto" w:fill="E6E6E6"/>
        </w:rPr>
        <w:fldChar w:fldCharType="separate"/>
      </w:r>
      <w:r w:rsidR="00985CD0">
        <w:t>7</w:t>
      </w:r>
      <w:r>
        <w:rPr>
          <w:color w:val="2B579A"/>
          <w:shd w:val="clear" w:color="auto" w:fill="E6E6E6"/>
        </w:rPr>
        <w:fldChar w:fldCharType="end"/>
      </w:r>
    </w:p>
    <w:p w14:paraId="2B38044E" w14:textId="1A41455C" w:rsidR="007B06DD" w:rsidRDefault="007B06DD">
      <w:pPr>
        <w:pStyle w:val="TOC1"/>
        <w:rPr>
          <w:rFonts w:asciiTheme="minorHAnsi" w:eastAsiaTheme="minorEastAsia" w:hAnsiTheme="minorHAnsi" w:cstheme="minorBidi"/>
          <w:b w:val="0"/>
          <w:caps w:val="0"/>
          <w:sz w:val="22"/>
          <w:szCs w:val="22"/>
          <w:lang w:eastAsia="en-GB"/>
        </w:rPr>
      </w:pPr>
      <w:r>
        <w:t>RESPONSIBILITIES</w:t>
      </w:r>
      <w:r>
        <w:tab/>
      </w:r>
      <w:r>
        <w:rPr>
          <w:color w:val="2B579A"/>
          <w:shd w:val="clear" w:color="auto" w:fill="E6E6E6"/>
        </w:rPr>
        <w:fldChar w:fldCharType="begin"/>
      </w:r>
      <w:r>
        <w:instrText xml:space="preserve"> PAGEREF _Toc116910374 \h </w:instrText>
      </w:r>
      <w:r>
        <w:rPr>
          <w:color w:val="2B579A"/>
          <w:shd w:val="clear" w:color="auto" w:fill="E6E6E6"/>
        </w:rPr>
      </w:r>
      <w:r>
        <w:rPr>
          <w:color w:val="2B579A"/>
          <w:shd w:val="clear" w:color="auto" w:fill="E6E6E6"/>
        </w:rPr>
        <w:fldChar w:fldCharType="separate"/>
      </w:r>
      <w:r w:rsidR="00985CD0">
        <w:t>8</w:t>
      </w:r>
      <w:r>
        <w:rPr>
          <w:color w:val="2B579A"/>
          <w:shd w:val="clear" w:color="auto" w:fill="E6E6E6"/>
        </w:rPr>
        <w:fldChar w:fldCharType="end"/>
      </w:r>
    </w:p>
    <w:p w14:paraId="1F09EF7E" w14:textId="2D4940FE"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MONITORING AND REPORTING</w:t>
      </w:r>
      <w:r>
        <w:tab/>
      </w:r>
      <w:r>
        <w:rPr>
          <w:color w:val="2B579A"/>
          <w:shd w:val="clear" w:color="auto" w:fill="E6E6E6"/>
        </w:rPr>
        <w:fldChar w:fldCharType="begin"/>
      </w:r>
      <w:r>
        <w:instrText xml:space="preserve"> PAGEREF _Toc116910375 \h </w:instrText>
      </w:r>
      <w:r>
        <w:rPr>
          <w:color w:val="2B579A"/>
          <w:shd w:val="clear" w:color="auto" w:fill="E6E6E6"/>
        </w:rPr>
      </w:r>
      <w:r>
        <w:rPr>
          <w:color w:val="2B579A"/>
          <w:shd w:val="clear" w:color="auto" w:fill="E6E6E6"/>
        </w:rPr>
        <w:fldChar w:fldCharType="separate"/>
      </w:r>
      <w:r w:rsidR="00985CD0">
        <w:t>8</w:t>
      </w:r>
      <w:r>
        <w:rPr>
          <w:color w:val="2B579A"/>
          <w:shd w:val="clear" w:color="auto" w:fill="E6E6E6"/>
        </w:rPr>
        <w:fldChar w:fldCharType="end"/>
      </w:r>
    </w:p>
    <w:p w14:paraId="5B356F5E" w14:textId="6A803533"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CONSULTATION</w:t>
      </w:r>
      <w:r>
        <w:tab/>
      </w:r>
      <w:r>
        <w:rPr>
          <w:color w:val="2B579A"/>
          <w:shd w:val="clear" w:color="auto" w:fill="E6E6E6"/>
        </w:rPr>
        <w:fldChar w:fldCharType="begin"/>
      </w:r>
      <w:r>
        <w:instrText xml:space="preserve"> PAGEREF _Toc116910376 \h </w:instrText>
      </w:r>
      <w:r>
        <w:rPr>
          <w:color w:val="2B579A"/>
          <w:shd w:val="clear" w:color="auto" w:fill="E6E6E6"/>
        </w:rPr>
      </w:r>
      <w:r>
        <w:rPr>
          <w:color w:val="2B579A"/>
          <w:shd w:val="clear" w:color="auto" w:fill="E6E6E6"/>
        </w:rPr>
        <w:fldChar w:fldCharType="separate"/>
      </w:r>
      <w:r w:rsidR="00985CD0">
        <w:t>8</w:t>
      </w:r>
      <w:r>
        <w:rPr>
          <w:color w:val="2B579A"/>
          <w:shd w:val="clear" w:color="auto" w:fill="E6E6E6"/>
        </w:rPr>
        <w:fldChar w:fldCharType="end"/>
      </w:r>
    </w:p>
    <w:p w14:paraId="2BFE44A3" w14:textId="530A45C2" w:rsidR="007B06DD" w:rsidRDefault="007B06DD">
      <w:pPr>
        <w:pStyle w:val="TOC1"/>
        <w:rPr>
          <w:rFonts w:asciiTheme="minorHAnsi" w:eastAsiaTheme="minorEastAsia" w:hAnsiTheme="minorHAnsi" w:cstheme="minorBidi"/>
          <w:b w:val="0"/>
          <w:caps w:val="0"/>
          <w:sz w:val="22"/>
          <w:szCs w:val="22"/>
          <w:lang w:eastAsia="en-GB"/>
        </w:rPr>
      </w:pPr>
      <w:r w:rsidRPr="00A63741">
        <w:rPr>
          <w:lang w:val="en-US"/>
        </w:rPr>
        <w:t>REVIEW</w:t>
      </w:r>
      <w:r>
        <w:tab/>
      </w:r>
      <w:r>
        <w:rPr>
          <w:color w:val="2B579A"/>
          <w:shd w:val="clear" w:color="auto" w:fill="E6E6E6"/>
        </w:rPr>
        <w:fldChar w:fldCharType="begin"/>
      </w:r>
      <w:r>
        <w:instrText xml:space="preserve"> PAGEREF _Toc116910377 \h </w:instrText>
      </w:r>
      <w:r>
        <w:rPr>
          <w:color w:val="2B579A"/>
          <w:shd w:val="clear" w:color="auto" w:fill="E6E6E6"/>
        </w:rPr>
      </w:r>
      <w:r>
        <w:rPr>
          <w:color w:val="2B579A"/>
          <w:shd w:val="clear" w:color="auto" w:fill="E6E6E6"/>
        </w:rPr>
        <w:fldChar w:fldCharType="separate"/>
      </w:r>
      <w:r w:rsidR="00985CD0">
        <w:t>8</w:t>
      </w:r>
      <w:r>
        <w:rPr>
          <w:color w:val="2B579A"/>
          <w:shd w:val="clear" w:color="auto" w:fill="E6E6E6"/>
        </w:rPr>
        <w:fldChar w:fldCharType="end"/>
      </w:r>
    </w:p>
    <w:p w14:paraId="549BF2BC" w14:textId="78F4B4B6" w:rsidR="007B06DD" w:rsidRDefault="007B06DD">
      <w:pPr>
        <w:pStyle w:val="TOC1"/>
        <w:rPr>
          <w:rFonts w:asciiTheme="minorHAnsi" w:eastAsiaTheme="minorEastAsia" w:hAnsiTheme="minorHAnsi" w:cstheme="minorBidi"/>
          <w:b w:val="0"/>
          <w:caps w:val="0"/>
          <w:sz w:val="22"/>
          <w:szCs w:val="22"/>
          <w:lang w:eastAsia="en-GB"/>
        </w:rPr>
      </w:pPr>
      <w:r>
        <w:t>ASSOCIATED DOCUMENTS</w:t>
      </w:r>
      <w:r>
        <w:tab/>
      </w:r>
      <w:r>
        <w:rPr>
          <w:color w:val="2B579A"/>
          <w:shd w:val="clear" w:color="auto" w:fill="E6E6E6"/>
        </w:rPr>
        <w:fldChar w:fldCharType="begin"/>
      </w:r>
      <w:r>
        <w:instrText xml:space="preserve"> PAGEREF _Toc116910378 \h </w:instrText>
      </w:r>
      <w:r>
        <w:rPr>
          <w:color w:val="2B579A"/>
          <w:shd w:val="clear" w:color="auto" w:fill="E6E6E6"/>
        </w:rPr>
      </w:r>
      <w:r>
        <w:rPr>
          <w:color w:val="2B579A"/>
          <w:shd w:val="clear" w:color="auto" w:fill="E6E6E6"/>
        </w:rPr>
        <w:fldChar w:fldCharType="separate"/>
      </w:r>
      <w:r w:rsidR="00985CD0">
        <w:t>9</w:t>
      </w:r>
      <w:r>
        <w:rPr>
          <w:color w:val="2B579A"/>
          <w:shd w:val="clear" w:color="auto" w:fill="E6E6E6"/>
        </w:rPr>
        <w:fldChar w:fldCharType="end"/>
      </w:r>
    </w:p>
    <w:p w14:paraId="7DBC081C" w14:textId="5DEAB724" w:rsidR="007B06DD" w:rsidRDefault="007B06DD">
      <w:pPr>
        <w:pStyle w:val="TOC1"/>
        <w:rPr>
          <w:rFonts w:asciiTheme="minorHAnsi" w:eastAsiaTheme="minorEastAsia" w:hAnsiTheme="minorHAnsi" w:cstheme="minorBidi"/>
          <w:b w:val="0"/>
          <w:caps w:val="0"/>
          <w:sz w:val="22"/>
          <w:szCs w:val="22"/>
          <w:lang w:eastAsia="en-GB"/>
        </w:rPr>
      </w:pPr>
      <w:r>
        <w:t>POLICY INFORMATION</w:t>
      </w:r>
      <w:r>
        <w:tab/>
      </w:r>
      <w:r>
        <w:rPr>
          <w:color w:val="2B579A"/>
          <w:shd w:val="clear" w:color="auto" w:fill="E6E6E6"/>
        </w:rPr>
        <w:fldChar w:fldCharType="begin"/>
      </w:r>
      <w:r>
        <w:instrText xml:space="preserve"> PAGEREF _Toc116910379 \h </w:instrText>
      </w:r>
      <w:r>
        <w:rPr>
          <w:color w:val="2B579A"/>
          <w:shd w:val="clear" w:color="auto" w:fill="E6E6E6"/>
        </w:rPr>
      </w:r>
      <w:r>
        <w:rPr>
          <w:color w:val="2B579A"/>
          <w:shd w:val="clear" w:color="auto" w:fill="E6E6E6"/>
        </w:rPr>
        <w:fldChar w:fldCharType="separate"/>
      </w:r>
      <w:r w:rsidR="00985CD0">
        <w:t>9</w:t>
      </w:r>
      <w:r>
        <w:rPr>
          <w:color w:val="2B579A"/>
          <w:shd w:val="clear" w:color="auto" w:fill="E6E6E6"/>
        </w:rPr>
        <w:fldChar w:fldCharType="end"/>
      </w:r>
    </w:p>
    <w:p w14:paraId="66F914F8" w14:textId="31901701" w:rsidR="000114C6" w:rsidRDefault="00D966BD" w:rsidP="00E3112F">
      <w:pPr>
        <w:pStyle w:val="TOC1"/>
        <w:numPr>
          <w:ilvl w:val="0"/>
          <w:numId w:val="0"/>
        </w:numPr>
        <w:ind w:left="357"/>
      </w:pPr>
      <w:r>
        <w:rPr>
          <w:rFonts w:eastAsia="Times New Roman" w:cs="Arial"/>
          <w:color w:val="2B579A"/>
          <w:szCs w:val="20"/>
          <w:shd w:val="clear" w:color="auto" w:fill="E6E6E6"/>
        </w:rPr>
        <w:fldChar w:fldCharType="end"/>
      </w:r>
    </w:p>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3C1B99">
      <w:pPr>
        <w:pStyle w:val="TOC1"/>
        <w:sectPr w:rsidR="000114C6" w:rsidSect="005927A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16"/>
      </w:tblGrid>
      <w:tr w:rsidR="0093600A" w:rsidRPr="007D0DCD" w14:paraId="3E8B33FB" w14:textId="77777777" w:rsidTr="66E037C6">
        <w:trPr>
          <w:trHeight w:hRule="exact" w:val="20"/>
        </w:trPr>
        <w:tc>
          <w:tcPr>
            <w:tcW w:w="817" w:type="dxa"/>
            <w:tcBorders>
              <w:bottom w:val="nil"/>
            </w:tcBorders>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Borders>
              <w:bottom w:val="nil"/>
            </w:tcBorders>
          </w:tcPr>
          <w:p w14:paraId="37868438" w14:textId="77777777" w:rsidR="0093600A" w:rsidRDefault="0093600A">
            <w:pPr>
              <w:rPr>
                <w:sz w:val="2"/>
              </w:rPr>
            </w:pPr>
          </w:p>
        </w:tc>
      </w:tr>
      <w:tr w:rsidR="0093600A" w:rsidRPr="007D0DCD" w14:paraId="2DFE7376" w14:textId="77777777" w:rsidTr="66E037C6">
        <w:tc>
          <w:tcPr>
            <w:tcW w:w="817" w:type="dxa"/>
            <w:tcBorders>
              <w:top w:val="nil"/>
              <w:left w:val="nil"/>
              <w:bottom w:val="nil"/>
              <w:right w:val="nil"/>
            </w:tcBorders>
          </w:tcPr>
          <w:p w14:paraId="7D5603A4" w14:textId="77777777" w:rsidR="0093600A" w:rsidRPr="003C1B99" w:rsidRDefault="0093600A" w:rsidP="0093600A">
            <w:pPr>
              <w:pStyle w:val="ListParagraph"/>
              <w:numPr>
                <w:ilvl w:val="0"/>
                <w:numId w:val="5"/>
              </w:numPr>
            </w:pPr>
          </w:p>
        </w:tc>
        <w:tc>
          <w:tcPr>
            <w:tcW w:w="8816" w:type="dxa"/>
            <w:tcBorders>
              <w:top w:val="nil"/>
              <w:left w:val="nil"/>
              <w:bottom w:val="nil"/>
              <w:right w:val="nil"/>
            </w:tcBorders>
          </w:tcPr>
          <w:p w14:paraId="67D69426" w14:textId="51E9319F" w:rsidR="0093600A" w:rsidRPr="0081585A" w:rsidRDefault="0093600A" w:rsidP="00601BEC">
            <w:pPr>
              <w:pStyle w:val="Heading1"/>
            </w:pPr>
            <w:bookmarkStart w:id="5" w:name="_Toc476208626"/>
            <w:bookmarkStart w:id="6" w:name="_Toc116910368"/>
            <w:r w:rsidRPr="00601BEC">
              <w:t>INTRODUCTION</w:t>
            </w:r>
            <w:bookmarkEnd w:id="5"/>
            <w:bookmarkEnd w:id="6"/>
            <w:r w:rsidR="00247C6B">
              <w:t xml:space="preserve"> </w:t>
            </w:r>
          </w:p>
        </w:tc>
      </w:tr>
      <w:tr w:rsidR="0093600A" w:rsidRPr="007D0DCD" w14:paraId="73DA72BE" w14:textId="77777777" w:rsidTr="66E037C6">
        <w:tc>
          <w:tcPr>
            <w:tcW w:w="817" w:type="dxa"/>
            <w:tcBorders>
              <w:top w:val="nil"/>
              <w:left w:val="nil"/>
              <w:bottom w:val="nil"/>
              <w:right w:val="nil"/>
            </w:tcBorders>
          </w:tcPr>
          <w:p w14:paraId="15A040CC"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FE29E29" w14:textId="1C3A5CDA" w:rsidR="007B06DD" w:rsidRPr="00CB2961" w:rsidRDefault="00A064EB" w:rsidP="00B54DF7">
            <w:pPr>
              <w:rPr>
                <w:i/>
                <w:iCs/>
                <w:color w:val="A6A6A6" w:themeColor="background1" w:themeShade="A6"/>
              </w:rPr>
            </w:pPr>
            <w:r w:rsidRPr="00A064EB">
              <w:rPr>
                <w:i/>
                <w:iCs/>
                <w:color w:val="A6A6A6" w:themeColor="background1" w:themeShade="A6"/>
              </w:rPr>
              <w:t xml:space="preserve"> </w:t>
            </w:r>
          </w:p>
        </w:tc>
      </w:tr>
      <w:tr w:rsidR="0093600A" w:rsidRPr="007D0DCD" w14:paraId="77D9890F" w14:textId="77777777" w:rsidTr="66E037C6">
        <w:tc>
          <w:tcPr>
            <w:tcW w:w="817" w:type="dxa"/>
            <w:tcBorders>
              <w:top w:val="nil"/>
              <w:left w:val="nil"/>
              <w:bottom w:val="nil"/>
              <w:right w:val="nil"/>
            </w:tcBorders>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6A5FCA1C" w14:textId="4955BFAD" w:rsidR="0093600A" w:rsidRPr="007D0DCD" w:rsidRDefault="009B3B88" w:rsidP="00DD6A8A">
            <w:pPr>
              <w:rPr>
                <w:lang w:eastAsia="en-GB"/>
              </w:rPr>
            </w:pPr>
            <w:r w:rsidRPr="005D425F">
              <w:t>The</w:t>
            </w:r>
            <w:r>
              <w:t xml:space="preserve"> aim of the policy is to outline the circumstances under which tenants may assign their tenancy to someone else. It aims to ensure that assignments take place in accordance with the relevant legislation and that the contractual rights and obligations of the tenancy agreement are adhered to.</w:t>
            </w:r>
          </w:p>
        </w:tc>
      </w:tr>
      <w:tr w:rsidR="0093600A" w:rsidRPr="007D0DCD" w14:paraId="0277B2CF" w14:textId="77777777" w:rsidTr="66E037C6">
        <w:tc>
          <w:tcPr>
            <w:tcW w:w="817" w:type="dxa"/>
            <w:tcBorders>
              <w:top w:val="nil"/>
              <w:left w:val="nil"/>
              <w:bottom w:val="nil"/>
              <w:right w:val="nil"/>
            </w:tcBorders>
          </w:tcPr>
          <w:p w14:paraId="6F6BEC13"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A4C76D6" w14:textId="77777777" w:rsidR="0093600A" w:rsidRPr="007D0DCD" w:rsidRDefault="0093600A" w:rsidP="0093600A">
            <w:pPr>
              <w:rPr>
                <w:rFonts w:ascii="Calibri" w:eastAsia="Times New Roman" w:hAnsi="Calibri" w:cs="Arial"/>
                <w:szCs w:val="20"/>
                <w:lang w:eastAsia="en-GB"/>
              </w:rPr>
            </w:pPr>
          </w:p>
        </w:tc>
      </w:tr>
      <w:tr w:rsidR="0093600A" w:rsidRPr="007D0DCD" w14:paraId="2F306CE0" w14:textId="77777777" w:rsidTr="66E037C6">
        <w:tc>
          <w:tcPr>
            <w:tcW w:w="817" w:type="dxa"/>
            <w:tcBorders>
              <w:top w:val="nil"/>
              <w:left w:val="nil"/>
              <w:bottom w:val="nil"/>
              <w:right w:val="nil"/>
            </w:tcBorders>
          </w:tcPr>
          <w:p w14:paraId="4513521E"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1142151B" w14:textId="1CEC1D0F" w:rsidR="0093600A" w:rsidRPr="00BA5AF4" w:rsidRDefault="009B3B88" w:rsidP="0093600A">
            <w:pPr>
              <w:rPr>
                <w:rFonts w:ascii="Calibri" w:eastAsia="Times New Roman" w:hAnsi="Calibri" w:cs="Arial"/>
                <w:szCs w:val="20"/>
                <w:lang w:eastAsia="en-GB"/>
              </w:rPr>
            </w:pPr>
            <w:r>
              <w:t>An assignment is a way that a tenant can transfer their tenancy to another person. On assignment, the assignor’s (outgoing tenant) legal interest in a property is passed to the assignee (incoming tenant), who takes over that interest in the property and becomes the tenant.</w:t>
            </w:r>
          </w:p>
        </w:tc>
      </w:tr>
      <w:tr w:rsidR="0093600A" w:rsidRPr="007D0DCD" w14:paraId="01B15A71" w14:textId="77777777" w:rsidTr="66E037C6">
        <w:tc>
          <w:tcPr>
            <w:tcW w:w="817" w:type="dxa"/>
            <w:tcBorders>
              <w:top w:val="nil"/>
              <w:left w:val="nil"/>
              <w:bottom w:val="nil"/>
              <w:right w:val="nil"/>
            </w:tcBorders>
          </w:tcPr>
          <w:p w14:paraId="450BCCCA"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70BC4509" w14:textId="77777777" w:rsidR="0093600A" w:rsidRPr="007D0DCD" w:rsidRDefault="0093600A" w:rsidP="0093600A">
            <w:pPr>
              <w:rPr>
                <w:rFonts w:ascii="Calibri" w:eastAsia="Times New Roman" w:hAnsi="Calibri" w:cs="Arial"/>
                <w:szCs w:val="20"/>
                <w:lang w:eastAsia="en-GB"/>
              </w:rPr>
            </w:pPr>
          </w:p>
        </w:tc>
      </w:tr>
      <w:tr w:rsidR="0093600A" w:rsidRPr="007D0DCD" w14:paraId="14094D75" w14:textId="77777777" w:rsidTr="66E037C6">
        <w:tc>
          <w:tcPr>
            <w:tcW w:w="817" w:type="dxa"/>
            <w:tcBorders>
              <w:top w:val="nil"/>
              <w:left w:val="nil"/>
              <w:bottom w:val="nil"/>
              <w:right w:val="nil"/>
            </w:tcBorders>
          </w:tcPr>
          <w:p w14:paraId="0BE75162" w14:textId="77777777" w:rsidR="0093600A" w:rsidRPr="005927A0" w:rsidRDefault="0093600A" w:rsidP="0093600A">
            <w:pPr>
              <w:pStyle w:val="ListParagraph"/>
              <w:numPr>
                <w:ilvl w:val="0"/>
                <w:numId w:val="5"/>
              </w:numPr>
            </w:pPr>
            <w:bookmarkStart w:id="7" w:name="_Toc476208627"/>
            <w:bookmarkEnd w:id="7"/>
          </w:p>
        </w:tc>
        <w:tc>
          <w:tcPr>
            <w:tcW w:w="8816" w:type="dxa"/>
            <w:tcBorders>
              <w:top w:val="nil"/>
              <w:left w:val="nil"/>
              <w:bottom w:val="nil"/>
              <w:right w:val="nil"/>
            </w:tcBorders>
          </w:tcPr>
          <w:p w14:paraId="4429D626" w14:textId="77777777" w:rsidR="0093600A" w:rsidRPr="009D2345" w:rsidRDefault="00E82464" w:rsidP="00601BEC">
            <w:pPr>
              <w:pStyle w:val="Heading1"/>
            </w:pPr>
            <w:bookmarkStart w:id="8" w:name="_Toc116910369"/>
            <w:r>
              <w:t>scope</w:t>
            </w:r>
            <w:bookmarkEnd w:id="8"/>
          </w:p>
        </w:tc>
      </w:tr>
      <w:tr w:rsidR="0093600A" w:rsidRPr="007D0DCD" w14:paraId="19539C6F" w14:textId="77777777" w:rsidTr="66E037C6">
        <w:tc>
          <w:tcPr>
            <w:tcW w:w="817" w:type="dxa"/>
            <w:tcBorders>
              <w:top w:val="nil"/>
              <w:left w:val="nil"/>
              <w:bottom w:val="nil"/>
              <w:right w:val="nil"/>
            </w:tcBorders>
          </w:tcPr>
          <w:p w14:paraId="43ED4E01" w14:textId="77777777" w:rsidR="0093600A" w:rsidRPr="00EF55CC" w:rsidRDefault="0093600A" w:rsidP="0093600A">
            <w:pPr>
              <w:rPr>
                <w:lang w:eastAsia="en-GB"/>
              </w:rPr>
            </w:pPr>
          </w:p>
        </w:tc>
        <w:tc>
          <w:tcPr>
            <w:tcW w:w="8816" w:type="dxa"/>
            <w:tcBorders>
              <w:top w:val="nil"/>
              <w:left w:val="nil"/>
              <w:bottom w:val="nil"/>
              <w:right w:val="nil"/>
            </w:tcBorders>
          </w:tcPr>
          <w:p w14:paraId="01D667AA" w14:textId="29239B79" w:rsidR="007B06DD" w:rsidRPr="00A064EB" w:rsidRDefault="007B06DD" w:rsidP="0093600A">
            <w:pPr>
              <w:rPr>
                <w:i/>
                <w:iCs/>
                <w:color w:val="A6A6A6" w:themeColor="background1" w:themeShade="A6"/>
                <w:lang w:val="en-US"/>
              </w:rPr>
            </w:pPr>
          </w:p>
        </w:tc>
      </w:tr>
      <w:tr w:rsidR="0093600A" w:rsidRPr="007D0DCD" w14:paraId="2956186D" w14:textId="77777777" w:rsidTr="66E037C6">
        <w:tc>
          <w:tcPr>
            <w:tcW w:w="817" w:type="dxa"/>
            <w:tcBorders>
              <w:top w:val="nil"/>
              <w:left w:val="nil"/>
              <w:bottom w:val="nil"/>
              <w:right w:val="nil"/>
            </w:tcBorders>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A622F9F" w14:textId="40054856" w:rsidR="0093600A" w:rsidRDefault="008A6772" w:rsidP="0093600A">
            <w:r>
              <w:t xml:space="preserve">This policy sets out Peaks </w:t>
            </w:r>
            <w:r w:rsidR="004C5F4A">
              <w:t xml:space="preserve">&amp; </w:t>
            </w:r>
            <w:r>
              <w:t xml:space="preserve">Plains </w:t>
            </w:r>
            <w:r w:rsidR="009A2118">
              <w:t>(the Trust)</w:t>
            </w:r>
            <w:r w:rsidR="00544F3E">
              <w:t xml:space="preserve"> </w:t>
            </w:r>
            <w:r>
              <w:t xml:space="preserve">position in respect to allowing our customers to exchange homes. Typically, a mutual exchange involves two households swapping properties, but we also deal with exchanges where multiple households take part in a multi-way swap. </w:t>
            </w:r>
          </w:p>
          <w:p w14:paraId="5006A0DD" w14:textId="4D27010F" w:rsidR="000A6E5F" w:rsidRPr="007D0DCD" w:rsidRDefault="000A6E5F" w:rsidP="0093600A">
            <w:pPr>
              <w:rPr>
                <w:rFonts w:ascii="Calibri" w:eastAsia="Times New Roman" w:hAnsi="Calibri" w:cs="Arial"/>
                <w:szCs w:val="20"/>
                <w:lang w:eastAsia="en-GB"/>
              </w:rPr>
            </w:pPr>
          </w:p>
        </w:tc>
      </w:tr>
      <w:tr w:rsidR="005D425F" w:rsidRPr="007D0DCD" w14:paraId="39B0AED8" w14:textId="77777777" w:rsidTr="66E037C6">
        <w:tc>
          <w:tcPr>
            <w:tcW w:w="817" w:type="dxa"/>
            <w:tcBorders>
              <w:top w:val="nil"/>
              <w:left w:val="nil"/>
              <w:bottom w:val="nil"/>
              <w:right w:val="nil"/>
            </w:tcBorders>
          </w:tcPr>
          <w:p w14:paraId="69D3C24C" w14:textId="77777777" w:rsidR="005D425F" w:rsidRPr="003C1B99" w:rsidRDefault="005D425F" w:rsidP="005D425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F7873E6" w14:textId="77777777" w:rsidR="005D425F" w:rsidRDefault="000A6E5F" w:rsidP="0093600A">
            <w:r>
              <w:t>Market or intermediate rent tenants, tenants on starter tenancies, shared owners, or leaseholders are not eligible for mutual exchange.</w:t>
            </w:r>
          </w:p>
          <w:p w14:paraId="7BD1C648" w14:textId="59CF1293" w:rsidR="000A6E5F" w:rsidRDefault="000A6E5F" w:rsidP="0093600A"/>
        </w:tc>
      </w:tr>
      <w:tr w:rsidR="000A6E5F" w:rsidRPr="007D0DCD" w14:paraId="443D92E9" w14:textId="77777777" w:rsidTr="66E037C6">
        <w:tc>
          <w:tcPr>
            <w:tcW w:w="817" w:type="dxa"/>
            <w:tcBorders>
              <w:top w:val="nil"/>
              <w:left w:val="nil"/>
              <w:bottom w:val="nil"/>
              <w:right w:val="nil"/>
            </w:tcBorders>
          </w:tcPr>
          <w:p w14:paraId="55485376" w14:textId="77777777" w:rsidR="000A6E5F" w:rsidRPr="003C1B99" w:rsidRDefault="000A6E5F" w:rsidP="000A6E5F">
            <w:pPr>
              <w:pStyle w:val="ListParagraph"/>
              <w:numPr>
                <w:ilvl w:val="1"/>
                <w:numId w:val="5"/>
              </w:numPr>
              <w:rPr>
                <w:rFonts w:eastAsia="Times New Roman" w:cs="Arial"/>
                <w:b w:val="0"/>
                <w:color w:val="auto"/>
                <w:szCs w:val="20"/>
                <w:lang w:eastAsia="en-GB"/>
              </w:rPr>
            </w:pPr>
          </w:p>
        </w:tc>
        <w:tc>
          <w:tcPr>
            <w:tcW w:w="8816" w:type="dxa"/>
            <w:tcBorders>
              <w:top w:val="nil"/>
              <w:left w:val="nil"/>
              <w:bottom w:val="nil"/>
              <w:right w:val="nil"/>
            </w:tcBorders>
          </w:tcPr>
          <w:p w14:paraId="52B6A750" w14:textId="6F185D62" w:rsidR="000A6E5F" w:rsidRDefault="000A6E5F" w:rsidP="0093600A">
            <w:r>
              <w:t>This Policy</w:t>
            </w:r>
            <w:r w:rsidR="003604D4">
              <w:t xml:space="preserve"> also</w:t>
            </w:r>
            <w:r>
              <w:t xml:space="preserve"> explains how we approach succession to a tenancy. Succession is when a family member takes over a tenancy when a tenant dies. They</w:t>
            </w:r>
            <w:r w:rsidR="009F70AB">
              <w:t xml:space="preserve"> may</w:t>
            </w:r>
            <w:r>
              <w:t xml:space="preserve"> take over the rights and responsibilities of the tenancy.</w:t>
            </w:r>
          </w:p>
        </w:tc>
      </w:tr>
      <w:tr w:rsidR="0093600A" w:rsidRPr="007D0DCD" w14:paraId="4FBCC680" w14:textId="77777777" w:rsidTr="66E037C6">
        <w:tc>
          <w:tcPr>
            <w:tcW w:w="817" w:type="dxa"/>
            <w:tcBorders>
              <w:top w:val="nil"/>
              <w:left w:val="nil"/>
              <w:bottom w:val="nil"/>
              <w:right w:val="nil"/>
            </w:tcBorders>
          </w:tcPr>
          <w:p w14:paraId="2BB0BBBA"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361E9EBF" w14:textId="77777777" w:rsidR="0093600A" w:rsidRPr="007D0DCD" w:rsidRDefault="0093600A" w:rsidP="0093600A">
            <w:pPr>
              <w:rPr>
                <w:rFonts w:ascii="Calibri" w:eastAsia="Times New Roman" w:hAnsi="Calibri" w:cs="Arial"/>
                <w:szCs w:val="20"/>
                <w:lang w:eastAsia="en-GB"/>
              </w:rPr>
            </w:pPr>
          </w:p>
        </w:tc>
      </w:tr>
      <w:tr w:rsidR="0093600A" w:rsidRPr="007D0DCD" w14:paraId="24819931" w14:textId="77777777" w:rsidTr="66E037C6">
        <w:trPr>
          <w:trHeight w:hRule="exact" w:val="340"/>
        </w:trPr>
        <w:tc>
          <w:tcPr>
            <w:tcW w:w="817" w:type="dxa"/>
            <w:tcBorders>
              <w:top w:val="nil"/>
              <w:left w:val="nil"/>
              <w:bottom w:val="nil"/>
              <w:right w:val="nil"/>
            </w:tcBorders>
          </w:tcPr>
          <w:p w14:paraId="790F2D7E" w14:textId="77777777" w:rsidR="0093600A" w:rsidRPr="005927A0" w:rsidRDefault="0093600A" w:rsidP="0093600A">
            <w:pPr>
              <w:pStyle w:val="ListParagraph"/>
              <w:numPr>
                <w:ilvl w:val="0"/>
                <w:numId w:val="5"/>
              </w:numPr>
            </w:pPr>
            <w:bookmarkStart w:id="9" w:name="_Toc476208629"/>
            <w:bookmarkEnd w:id="9"/>
          </w:p>
        </w:tc>
        <w:tc>
          <w:tcPr>
            <w:tcW w:w="8816" w:type="dxa"/>
            <w:tcBorders>
              <w:top w:val="nil"/>
              <w:left w:val="nil"/>
              <w:bottom w:val="nil"/>
              <w:right w:val="nil"/>
            </w:tcBorders>
          </w:tcPr>
          <w:p w14:paraId="09B2C85F" w14:textId="77777777" w:rsidR="0093600A" w:rsidRDefault="00E82464" w:rsidP="00601BEC">
            <w:pPr>
              <w:pStyle w:val="Heading1"/>
              <w:rPr>
                <w:lang w:val="en-US"/>
              </w:rPr>
            </w:pPr>
            <w:bookmarkStart w:id="10" w:name="_Toc116910370"/>
            <w:r w:rsidRPr="006B16FC">
              <w:rPr>
                <w:lang w:val="en-US"/>
              </w:rPr>
              <w:t>LEGAL &amp; REGULATORY REQUIREMENTS</w:t>
            </w:r>
            <w:bookmarkEnd w:id="10"/>
          </w:p>
          <w:p w14:paraId="02341E78" w14:textId="09652E6D" w:rsidR="007B06DD" w:rsidRPr="007B06DD" w:rsidRDefault="007B06DD" w:rsidP="007B06DD">
            <w:pPr>
              <w:rPr>
                <w:lang w:val="en-US"/>
              </w:rPr>
            </w:pPr>
          </w:p>
        </w:tc>
      </w:tr>
      <w:tr w:rsidR="009B3B88" w:rsidRPr="007D0DCD" w14:paraId="37D8E867" w14:textId="77777777" w:rsidTr="66E037C6">
        <w:trPr>
          <w:gridAfter w:val="1"/>
          <w:wAfter w:w="8816" w:type="dxa"/>
        </w:trPr>
        <w:tc>
          <w:tcPr>
            <w:tcW w:w="817" w:type="dxa"/>
            <w:tcBorders>
              <w:top w:val="nil"/>
              <w:left w:val="nil"/>
              <w:bottom w:val="nil"/>
              <w:right w:val="nil"/>
            </w:tcBorders>
          </w:tcPr>
          <w:p w14:paraId="1ADEBE1A" w14:textId="77777777" w:rsidR="009B3B88" w:rsidRPr="00EF55CC" w:rsidRDefault="009B3B88" w:rsidP="0093600A">
            <w:pPr>
              <w:rPr>
                <w:lang w:eastAsia="en-GB"/>
              </w:rPr>
            </w:pPr>
          </w:p>
        </w:tc>
      </w:tr>
      <w:tr w:rsidR="0093600A" w:rsidRPr="007D0DCD" w14:paraId="10D79991" w14:textId="77777777" w:rsidTr="66E037C6">
        <w:tc>
          <w:tcPr>
            <w:tcW w:w="817" w:type="dxa"/>
            <w:tcBorders>
              <w:top w:val="nil"/>
              <w:left w:val="nil"/>
              <w:bottom w:val="nil"/>
              <w:right w:val="nil"/>
            </w:tcBorders>
          </w:tcPr>
          <w:p w14:paraId="17588246"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1" w:name="_Ref32235445"/>
          </w:p>
        </w:tc>
        <w:bookmarkEnd w:id="11"/>
        <w:tc>
          <w:tcPr>
            <w:tcW w:w="8816" w:type="dxa"/>
            <w:tcBorders>
              <w:top w:val="nil"/>
              <w:left w:val="nil"/>
              <w:bottom w:val="nil"/>
              <w:right w:val="nil"/>
            </w:tcBorders>
          </w:tcPr>
          <w:p w14:paraId="1850AB41" w14:textId="77777777" w:rsidR="00E253A4" w:rsidRDefault="00E253A4" w:rsidP="0093600A">
            <w:r>
              <w:t xml:space="preserve">The key relevant legislation is: </w:t>
            </w:r>
          </w:p>
          <w:p w14:paraId="51F60CF3" w14:textId="77777777" w:rsidR="00DD2B6B" w:rsidRDefault="00DD2B6B" w:rsidP="0093600A">
            <w:r>
              <w:t xml:space="preserve">• Housing Act 1985 </w:t>
            </w:r>
          </w:p>
          <w:p w14:paraId="41E96742" w14:textId="77777777" w:rsidR="00DD2B6B" w:rsidRDefault="00DD2B6B" w:rsidP="0093600A">
            <w:r>
              <w:t xml:space="preserve">• Housing Act 1988 </w:t>
            </w:r>
          </w:p>
          <w:p w14:paraId="3E3F5AC9" w14:textId="77777777" w:rsidR="00DD2B6B" w:rsidRDefault="00DD2B6B" w:rsidP="0093600A">
            <w:r>
              <w:t xml:space="preserve">• Housing Act 1996 </w:t>
            </w:r>
          </w:p>
          <w:p w14:paraId="25EC0A0B" w14:textId="77777777" w:rsidR="00DD2B6B" w:rsidRDefault="00DD2B6B" w:rsidP="0093600A">
            <w:r>
              <w:t xml:space="preserve">• Human Rights Act 1998 </w:t>
            </w:r>
          </w:p>
          <w:p w14:paraId="14463455" w14:textId="77777777" w:rsidR="00DD2B6B" w:rsidRDefault="00DD2B6B" w:rsidP="0093600A">
            <w:r>
              <w:t xml:space="preserve">• The General Data Protection Regulations 2018 </w:t>
            </w:r>
          </w:p>
          <w:p w14:paraId="4888D58E" w14:textId="77777777" w:rsidR="00DD2B6B" w:rsidRDefault="00DD2B6B" w:rsidP="0093600A">
            <w:r>
              <w:t xml:space="preserve">• Data Protection Act 2018 </w:t>
            </w:r>
          </w:p>
          <w:p w14:paraId="69C63087" w14:textId="77777777" w:rsidR="00DD2B6B" w:rsidRDefault="00DD2B6B" w:rsidP="0093600A">
            <w:r>
              <w:t xml:space="preserve">• The Equality Act 2010 </w:t>
            </w:r>
          </w:p>
          <w:p w14:paraId="1107F7CE" w14:textId="77777777" w:rsidR="00DD2B6B" w:rsidRDefault="00DD2B6B" w:rsidP="0093600A">
            <w:r>
              <w:t xml:space="preserve">• The Localism Act 2011 </w:t>
            </w:r>
          </w:p>
          <w:p w14:paraId="7DE6A8B1" w14:textId="77777777" w:rsidR="00DD2B6B" w:rsidRDefault="00DD2B6B" w:rsidP="0093600A">
            <w:r>
              <w:t xml:space="preserve">• The Housing (Preservation of Right To Buy) Regulations 1993 </w:t>
            </w:r>
          </w:p>
          <w:p w14:paraId="398A7C84" w14:textId="35485F6F" w:rsidR="0093600A" w:rsidRPr="00277F51" w:rsidRDefault="00DD2B6B" w:rsidP="0093600A">
            <w:r>
              <w:t>• The Housing and Planning Act 2016</w:t>
            </w:r>
          </w:p>
        </w:tc>
      </w:tr>
      <w:tr w:rsidR="0093600A" w:rsidRPr="007D0DCD" w14:paraId="71FEA1D1" w14:textId="77777777" w:rsidTr="66E037C6">
        <w:tc>
          <w:tcPr>
            <w:tcW w:w="817" w:type="dxa"/>
            <w:tcBorders>
              <w:top w:val="nil"/>
              <w:left w:val="nil"/>
              <w:bottom w:val="nil"/>
              <w:right w:val="nil"/>
            </w:tcBorders>
          </w:tcPr>
          <w:p w14:paraId="3A2AF956"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DAC31C9" w14:textId="77777777" w:rsidR="0093600A" w:rsidRPr="007D0DCD" w:rsidRDefault="0093600A" w:rsidP="0093600A">
            <w:pPr>
              <w:rPr>
                <w:rFonts w:ascii="Calibri" w:eastAsia="Times New Roman" w:hAnsi="Calibri" w:cs="Arial"/>
                <w:szCs w:val="20"/>
                <w:lang w:eastAsia="en-GB"/>
              </w:rPr>
            </w:pPr>
          </w:p>
        </w:tc>
      </w:tr>
      <w:tr w:rsidR="0093600A" w:rsidRPr="007D0DCD" w14:paraId="4CAF273D" w14:textId="77777777" w:rsidTr="66E037C6">
        <w:tc>
          <w:tcPr>
            <w:tcW w:w="817" w:type="dxa"/>
            <w:tcBorders>
              <w:top w:val="nil"/>
              <w:left w:val="nil"/>
              <w:bottom w:val="nil"/>
              <w:right w:val="nil"/>
            </w:tcBorders>
          </w:tcPr>
          <w:p w14:paraId="5092B8CC" w14:textId="77777777" w:rsidR="0093600A" w:rsidRPr="003C1B99" w:rsidRDefault="0093600A" w:rsidP="00BB4B5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1FFD6BF" w14:textId="6A5D781B" w:rsidR="0093600A" w:rsidRDefault="00DD2B6B" w:rsidP="0093600A">
            <w:pPr>
              <w:pStyle w:val="ListBullet1"/>
              <w:numPr>
                <w:ilvl w:val="0"/>
                <w:numId w:val="0"/>
              </w:numPr>
            </w:pPr>
            <w:r>
              <w:t>The Regulator’s Tenancy Standard</w:t>
            </w:r>
            <w:r w:rsidR="00DF5810">
              <w:t xml:space="preserve"> within the Consumer Standards</w:t>
            </w:r>
            <w:r>
              <w:t xml:space="preserve"> requires</w:t>
            </w:r>
            <w:r w:rsidR="00DF5810">
              <w:t xml:space="preserve"> under 1.4. Mutual Exchange, 1.4.1 that</w:t>
            </w:r>
            <w:r>
              <w:t xml:space="preserve"> </w:t>
            </w:r>
            <w:r w:rsidR="005D425F">
              <w:t>“r</w:t>
            </w:r>
            <w:r w:rsidR="005D425F" w:rsidRPr="005D425F">
              <w:t>egistered providers must support relevant tenants living in eligible housing to mutually exchange their homes</w:t>
            </w:r>
            <w:r w:rsidR="005D425F">
              <w:t>”.</w:t>
            </w:r>
          </w:p>
          <w:p w14:paraId="3C0C02AB" w14:textId="77777777" w:rsidR="00985CD0" w:rsidRDefault="00985CD0" w:rsidP="0093600A">
            <w:pPr>
              <w:pStyle w:val="ListBullet1"/>
              <w:numPr>
                <w:ilvl w:val="0"/>
                <w:numId w:val="0"/>
              </w:numPr>
              <w:rPr>
                <w:lang w:eastAsia="en-GB"/>
              </w:rPr>
            </w:pPr>
          </w:p>
          <w:p w14:paraId="2D5A0970" w14:textId="77777777" w:rsidR="00985CD0" w:rsidRDefault="00985CD0" w:rsidP="0093600A">
            <w:pPr>
              <w:pStyle w:val="ListBullet1"/>
              <w:numPr>
                <w:ilvl w:val="0"/>
                <w:numId w:val="0"/>
              </w:numPr>
              <w:rPr>
                <w:lang w:eastAsia="en-GB"/>
              </w:rPr>
            </w:pPr>
          </w:p>
          <w:p w14:paraId="26DC70FE" w14:textId="77777777" w:rsidR="00985CD0" w:rsidRDefault="00985CD0" w:rsidP="0093600A">
            <w:pPr>
              <w:pStyle w:val="ListBullet1"/>
              <w:numPr>
                <w:ilvl w:val="0"/>
                <w:numId w:val="0"/>
              </w:numPr>
              <w:rPr>
                <w:lang w:eastAsia="en-GB"/>
              </w:rPr>
            </w:pPr>
          </w:p>
          <w:p w14:paraId="59A64385" w14:textId="77777777" w:rsidR="00985CD0" w:rsidRDefault="00985CD0" w:rsidP="0093600A">
            <w:pPr>
              <w:pStyle w:val="ListBullet1"/>
              <w:numPr>
                <w:ilvl w:val="0"/>
                <w:numId w:val="0"/>
              </w:numPr>
              <w:rPr>
                <w:lang w:eastAsia="en-GB"/>
              </w:rPr>
            </w:pPr>
          </w:p>
          <w:p w14:paraId="27C85D47" w14:textId="44CCA83E" w:rsidR="00985CD0" w:rsidRPr="00F72317" w:rsidRDefault="00985CD0" w:rsidP="0093600A">
            <w:pPr>
              <w:pStyle w:val="ListBullet1"/>
              <w:numPr>
                <w:ilvl w:val="0"/>
                <w:numId w:val="0"/>
              </w:numPr>
              <w:rPr>
                <w:lang w:eastAsia="en-GB"/>
              </w:rPr>
            </w:pPr>
          </w:p>
        </w:tc>
      </w:tr>
      <w:tr w:rsidR="005D425F" w:rsidRPr="007D0DCD" w14:paraId="4B57B42D" w14:textId="77777777" w:rsidTr="66E037C6">
        <w:tc>
          <w:tcPr>
            <w:tcW w:w="817" w:type="dxa"/>
            <w:tcBorders>
              <w:top w:val="nil"/>
              <w:left w:val="nil"/>
              <w:bottom w:val="nil"/>
              <w:right w:val="nil"/>
            </w:tcBorders>
          </w:tcPr>
          <w:p w14:paraId="6A272425" w14:textId="77777777" w:rsidR="005D425F" w:rsidRPr="003C1B99" w:rsidRDefault="005D425F" w:rsidP="00BB4B57">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E85D270" w14:textId="0B346009" w:rsidR="005D425F" w:rsidRDefault="00DF5810" w:rsidP="005D425F">
            <w:pPr>
              <w:pStyle w:val="ListBullet1"/>
              <w:numPr>
                <w:ilvl w:val="0"/>
                <w:numId w:val="0"/>
              </w:numPr>
            </w:pPr>
            <w:r>
              <w:t>The specific expectations of this</w:t>
            </w:r>
            <w:r w:rsidR="005D425F">
              <w:t xml:space="preserve"> outcom</w:t>
            </w:r>
            <w:r>
              <w:t>e are that we must</w:t>
            </w:r>
            <w:r w:rsidR="005D425F">
              <w:t>:</w:t>
            </w:r>
          </w:p>
          <w:p w14:paraId="5C6B8FB3" w14:textId="082CF802" w:rsidR="005D425F" w:rsidRDefault="00DF5810" w:rsidP="005D425F">
            <w:pPr>
              <w:pStyle w:val="ListBullet1"/>
              <w:numPr>
                <w:ilvl w:val="0"/>
                <w:numId w:val="22"/>
              </w:numPr>
            </w:pPr>
            <w:r>
              <w:t>2.4.1. O</w:t>
            </w:r>
            <w:r w:rsidR="005D425F" w:rsidRPr="005D425F">
              <w:t>ffer a mutual exchange service which allows relevant tenants potentially eligible for mutual exchange, whether pursuant to a statutory right or a policy of the registered provider, to easily access details of all (or the greatest practicable number of) available matches without payment of a fee</w:t>
            </w:r>
            <w:r>
              <w:t>.</w:t>
            </w:r>
          </w:p>
          <w:p w14:paraId="74FBCCD4" w14:textId="40332BE9" w:rsidR="005D425F" w:rsidRDefault="00DF5810" w:rsidP="005D425F">
            <w:pPr>
              <w:pStyle w:val="ListBullet1"/>
              <w:numPr>
                <w:ilvl w:val="0"/>
                <w:numId w:val="22"/>
              </w:numPr>
            </w:pPr>
            <w:r>
              <w:t>2.4.2 P</w:t>
            </w:r>
            <w:r w:rsidR="005D425F" w:rsidRPr="005D425F">
              <w:t>ublicise the availability of any mutual exchange service(s) it offers to its relevant tenants.</w:t>
            </w:r>
          </w:p>
          <w:p w14:paraId="7B0B47DE" w14:textId="5AD6498A" w:rsidR="005D425F" w:rsidRDefault="00DF5810" w:rsidP="005D425F">
            <w:pPr>
              <w:pStyle w:val="ListBullet1"/>
              <w:numPr>
                <w:ilvl w:val="0"/>
                <w:numId w:val="22"/>
              </w:numPr>
            </w:pPr>
            <w:r>
              <w:t>2.4.3 P</w:t>
            </w:r>
            <w:r w:rsidR="005D425F" w:rsidRPr="005D425F">
              <w:t>rovide support for accessing mutual exchange services to relevant tenants who might otherwise be unable to use them</w:t>
            </w:r>
            <w:r w:rsidR="005D425F">
              <w:t>.</w:t>
            </w:r>
          </w:p>
          <w:p w14:paraId="7AA29C6B" w14:textId="380F6735" w:rsidR="005D425F" w:rsidRDefault="00DF5810" w:rsidP="003604D4">
            <w:pPr>
              <w:pStyle w:val="ListBullet1"/>
              <w:numPr>
                <w:ilvl w:val="0"/>
                <w:numId w:val="22"/>
              </w:numPr>
            </w:pPr>
            <w:r>
              <w:t>2.4.4 O</w:t>
            </w:r>
            <w:r w:rsidR="005D425F" w:rsidRPr="005D425F">
              <w:t>ffer tenants seeking to mutually exchange information about the implications for tenure, rent and service charges.</w:t>
            </w:r>
          </w:p>
        </w:tc>
      </w:tr>
      <w:tr w:rsidR="0093600A" w:rsidRPr="007D0DCD" w14:paraId="612D5DB1" w14:textId="77777777" w:rsidTr="66E037C6">
        <w:tc>
          <w:tcPr>
            <w:tcW w:w="817" w:type="dxa"/>
            <w:tcBorders>
              <w:top w:val="nil"/>
              <w:left w:val="nil"/>
              <w:bottom w:val="nil"/>
              <w:right w:val="nil"/>
            </w:tcBorders>
          </w:tcPr>
          <w:p w14:paraId="2FA6105D" w14:textId="77777777" w:rsidR="0093600A" w:rsidRPr="007D0DCD" w:rsidRDefault="0093600A" w:rsidP="0093600A">
            <w:pPr>
              <w:rPr>
                <w:rFonts w:ascii="Calibri" w:eastAsia="Times New Roman" w:hAnsi="Calibri" w:cs="Arial"/>
                <w:szCs w:val="20"/>
                <w:lang w:eastAsia="en-GB"/>
              </w:rPr>
            </w:pPr>
          </w:p>
        </w:tc>
        <w:tc>
          <w:tcPr>
            <w:tcW w:w="8816" w:type="dxa"/>
            <w:tcBorders>
              <w:top w:val="nil"/>
              <w:left w:val="nil"/>
              <w:bottom w:val="nil"/>
              <w:right w:val="nil"/>
            </w:tcBorders>
          </w:tcPr>
          <w:p w14:paraId="10CE9B6D" w14:textId="77777777" w:rsidR="0093600A" w:rsidRPr="007D0DCD" w:rsidRDefault="0093600A" w:rsidP="0093600A">
            <w:pPr>
              <w:rPr>
                <w:rFonts w:ascii="Calibri" w:eastAsia="Times New Roman" w:hAnsi="Calibri" w:cs="Arial"/>
                <w:szCs w:val="20"/>
                <w:lang w:eastAsia="en-GB"/>
              </w:rPr>
            </w:pPr>
          </w:p>
        </w:tc>
      </w:tr>
      <w:tr w:rsidR="0093600A" w:rsidRPr="007D0DCD" w14:paraId="1BE34B2E" w14:textId="77777777" w:rsidTr="66E037C6">
        <w:tc>
          <w:tcPr>
            <w:tcW w:w="817" w:type="dxa"/>
            <w:tcBorders>
              <w:top w:val="nil"/>
              <w:left w:val="nil"/>
              <w:bottom w:val="nil"/>
              <w:right w:val="nil"/>
            </w:tcBorders>
          </w:tcPr>
          <w:p w14:paraId="247038E0"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0042C099" w14:textId="07BE41AF" w:rsidR="0093600A" w:rsidRPr="00F72317" w:rsidRDefault="00DD2B6B" w:rsidP="0093600A">
            <w:pPr>
              <w:rPr>
                <w:rFonts w:ascii="Calibri" w:eastAsia="Times New Roman" w:hAnsi="Calibri" w:cs="Arial"/>
                <w:szCs w:val="20"/>
                <w:lang w:eastAsia="en-GB"/>
              </w:rPr>
            </w:pPr>
            <w:r>
              <w:t>The Trust will comply with all legal requirements in regard to the assignment, mutual exchange and succession of tenancies and the contractual obligations contained within the tenancy agreements.</w:t>
            </w:r>
          </w:p>
        </w:tc>
      </w:tr>
      <w:tr w:rsidR="00235F85" w:rsidRPr="007D0DCD" w14:paraId="2ABACF88" w14:textId="77777777" w:rsidTr="66E037C6">
        <w:tc>
          <w:tcPr>
            <w:tcW w:w="817" w:type="dxa"/>
            <w:tcBorders>
              <w:top w:val="nil"/>
              <w:left w:val="nil"/>
              <w:bottom w:val="nil"/>
              <w:right w:val="nil"/>
            </w:tcBorders>
          </w:tcPr>
          <w:p w14:paraId="3CCA549E" w14:textId="77777777" w:rsidR="00235F85" w:rsidRPr="003C1B99" w:rsidRDefault="00235F85" w:rsidP="00BB4B57">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391D0E4F" w14:textId="77777777" w:rsidR="00235F85" w:rsidRPr="00CC18FE" w:rsidRDefault="00235F85" w:rsidP="00DD6A8A">
            <w:pPr>
              <w:pStyle w:val="ListBullet1"/>
              <w:numPr>
                <w:ilvl w:val="0"/>
                <w:numId w:val="0"/>
              </w:numPr>
              <w:rPr>
                <w:rFonts w:ascii="Calibri" w:hAnsi="Calibri"/>
                <w:lang w:eastAsia="en-GB"/>
              </w:rPr>
            </w:pPr>
          </w:p>
        </w:tc>
      </w:tr>
      <w:tr w:rsidR="0075576F" w:rsidRPr="007D0DCD" w14:paraId="5A2FB5D9" w14:textId="77777777" w:rsidTr="66E037C6">
        <w:trPr>
          <w:trHeight w:hRule="exact" w:val="340"/>
        </w:trPr>
        <w:tc>
          <w:tcPr>
            <w:tcW w:w="817" w:type="dxa"/>
            <w:tcBorders>
              <w:top w:val="nil"/>
              <w:left w:val="nil"/>
              <w:bottom w:val="nil"/>
              <w:right w:val="nil"/>
            </w:tcBorders>
          </w:tcPr>
          <w:p w14:paraId="407AA3E9" w14:textId="77777777" w:rsidR="0075576F" w:rsidRPr="005927A0" w:rsidRDefault="0075576F" w:rsidP="005254BF">
            <w:pPr>
              <w:pStyle w:val="ListParagraph"/>
              <w:numPr>
                <w:ilvl w:val="0"/>
                <w:numId w:val="5"/>
              </w:numPr>
            </w:pPr>
          </w:p>
        </w:tc>
        <w:tc>
          <w:tcPr>
            <w:tcW w:w="8816" w:type="dxa"/>
            <w:tcBorders>
              <w:top w:val="nil"/>
              <w:left w:val="nil"/>
              <w:bottom w:val="nil"/>
              <w:right w:val="nil"/>
            </w:tcBorders>
          </w:tcPr>
          <w:p w14:paraId="3BEEFB69" w14:textId="1CBBAC5F" w:rsidR="0075576F" w:rsidRPr="000D655A" w:rsidRDefault="007B06DD" w:rsidP="005254BF">
            <w:pPr>
              <w:pStyle w:val="Heading1"/>
              <w:rPr>
                <w:lang w:val="en-US"/>
              </w:rPr>
            </w:pPr>
            <w:bookmarkStart w:id="12" w:name="_Toc116910371"/>
            <w:r>
              <w:rPr>
                <w:lang w:val="en-US"/>
              </w:rPr>
              <w:t>definitions</w:t>
            </w:r>
            <w:bookmarkEnd w:id="12"/>
          </w:p>
        </w:tc>
      </w:tr>
      <w:tr w:rsidR="003604D4" w:rsidRPr="007D0DCD" w14:paraId="4A920322" w14:textId="77777777" w:rsidTr="66E037C6">
        <w:trPr>
          <w:trHeight w:hRule="exact" w:val="340"/>
        </w:trPr>
        <w:tc>
          <w:tcPr>
            <w:tcW w:w="817" w:type="dxa"/>
            <w:tcBorders>
              <w:top w:val="nil"/>
              <w:left w:val="nil"/>
              <w:bottom w:val="nil"/>
              <w:right w:val="nil"/>
            </w:tcBorders>
          </w:tcPr>
          <w:p w14:paraId="11B6759F" w14:textId="77777777" w:rsidR="003604D4" w:rsidRPr="005927A0" w:rsidRDefault="003604D4" w:rsidP="003604D4">
            <w:pPr>
              <w:pStyle w:val="ListParagraph"/>
              <w:ind w:left="0"/>
            </w:pPr>
          </w:p>
        </w:tc>
        <w:tc>
          <w:tcPr>
            <w:tcW w:w="8816" w:type="dxa"/>
            <w:tcBorders>
              <w:top w:val="nil"/>
              <w:left w:val="nil"/>
              <w:bottom w:val="nil"/>
              <w:right w:val="nil"/>
            </w:tcBorders>
          </w:tcPr>
          <w:p w14:paraId="1FCB052B" w14:textId="77777777" w:rsidR="003604D4" w:rsidRDefault="003604D4" w:rsidP="005254BF">
            <w:pPr>
              <w:pStyle w:val="Heading1"/>
              <w:rPr>
                <w:lang w:val="en-US"/>
              </w:rPr>
            </w:pPr>
          </w:p>
        </w:tc>
      </w:tr>
      <w:tr w:rsidR="0075576F" w:rsidRPr="007D0DCD" w14:paraId="3FCF2499" w14:textId="77777777" w:rsidTr="66E037C6">
        <w:tc>
          <w:tcPr>
            <w:tcW w:w="817" w:type="dxa"/>
            <w:tcBorders>
              <w:top w:val="nil"/>
              <w:left w:val="nil"/>
              <w:bottom w:val="nil"/>
              <w:right w:val="nil"/>
            </w:tcBorders>
          </w:tcPr>
          <w:p w14:paraId="77DE40F2" w14:textId="77777777" w:rsidR="0075576F" w:rsidRPr="003C1B99" w:rsidRDefault="0075576F" w:rsidP="005254B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02386F6" w14:textId="77777777" w:rsidR="0075576F" w:rsidRDefault="009B3B88" w:rsidP="005254BF">
            <w:r>
              <w:t>An assignment is a transfer of the tenancy during the lifetime of the tenant.</w:t>
            </w:r>
          </w:p>
          <w:p w14:paraId="246E8ACA" w14:textId="15271BA7" w:rsidR="00A92F05" w:rsidRPr="007D0DCD" w:rsidRDefault="00A92F05" w:rsidP="005254BF">
            <w:pPr>
              <w:rPr>
                <w:rFonts w:ascii="Calibri" w:eastAsia="Times New Roman" w:hAnsi="Calibri" w:cs="Arial"/>
                <w:szCs w:val="20"/>
                <w:lang w:eastAsia="en-GB"/>
              </w:rPr>
            </w:pPr>
          </w:p>
        </w:tc>
      </w:tr>
      <w:tr w:rsidR="0075576F" w:rsidRPr="007D0DCD" w14:paraId="7513ACF5" w14:textId="77777777" w:rsidTr="66E037C6">
        <w:tc>
          <w:tcPr>
            <w:tcW w:w="817" w:type="dxa"/>
            <w:tcBorders>
              <w:top w:val="nil"/>
              <w:left w:val="nil"/>
              <w:bottom w:val="nil"/>
              <w:right w:val="nil"/>
            </w:tcBorders>
          </w:tcPr>
          <w:p w14:paraId="3ED1B156" w14:textId="039BD4DC" w:rsidR="0075576F" w:rsidRPr="009E4FB5" w:rsidRDefault="009E4FB5" w:rsidP="009E4FB5">
            <w:pPr>
              <w:rPr>
                <w:rFonts w:eastAsia="Times New Roman" w:cs="Arial"/>
                <w:szCs w:val="20"/>
                <w:lang w:eastAsia="en-GB"/>
              </w:rPr>
            </w:pPr>
            <w:r>
              <w:rPr>
                <w:rFonts w:eastAsia="Times New Roman" w:cs="Arial"/>
                <w:szCs w:val="20"/>
                <w:lang w:eastAsia="en-GB"/>
              </w:rPr>
              <w:t>4.1.1</w:t>
            </w:r>
          </w:p>
        </w:tc>
        <w:tc>
          <w:tcPr>
            <w:tcW w:w="8816" w:type="dxa"/>
            <w:tcBorders>
              <w:top w:val="nil"/>
              <w:left w:val="nil"/>
              <w:bottom w:val="nil"/>
              <w:right w:val="nil"/>
            </w:tcBorders>
          </w:tcPr>
          <w:p w14:paraId="0FE673FC" w14:textId="77777777" w:rsidR="0075576F" w:rsidRDefault="009B3B88" w:rsidP="005254BF">
            <w:r>
              <w:rPr>
                <w:rFonts w:ascii="Calibri" w:eastAsia="Times New Roman" w:hAnsi="Calibri" w:cs="Arial"/>
                <w:szCs w:val="20"/>
                <w:lang w:eastAsia="en-GB"/>
              </w:rPr>
              <w:t>A</w:t>
            </w:r>
            <w:r>
              <w:t>n assignment involves a tenant requesting permission to sign over their tenancy rights to another person. The assignment does not create a new tenancy but results in the transfer of the current tenancy agreement to the new tenant or tenants.</w:t>
            </w:r>
          </w:p>
          <w:p w14:paraId="0D8CFEB2" w14:textId="10F92F82" w:rsidR="00A92F05" w:rsidRPr="00F72317" w:rsidRDefault="00A92F05" w:rsidP="005254BF">
            <w:pPr>
              <w:rPr>
                <w:rFonts w:ascii="Calibri" w:eastAsia="Times New Roman" w:hAnsi="Calibri" w:cs="Arial"/>
                <w:szCs w:val="20"/>
                <w:lang w:eastAsia="en-GB"/>
              </w:rPr>
            </w:pPr>
          </w:p>
        </w:tc>
      </w:tr>
      <w:tr w:rsidR="00A92F05" w:rsidRPr="007D0DCD" w14:paraId="17604761" w14:textId="77777777" w:rsidTr="66E037C6">
        <w:tc>
          <w:tcPr>
            <w:tcW w:w="817" w:type="dxa"/>
            <w:tcBorders>
              <w:top w:val="nil"/>
              <w:left w:val="nil"/>
              <w:bottom w:val="nil"/>
              <w:right w:val="nil"/>
            </w:tcBorders>
          </w:tcPr>
          <w:p w14:paraId="39BECFE3" w14:textId="0ADC61FB" w:rsidR="00A92F05" w:rsidRDefault="00A92F05" w:rsidP="009E4FB5">
            <w:pPr>
              <w:rPr>
                <w:rFonts w:eastAsia="Times New Roman" w:cs="Arial"/>
                <w:szCs w:val="20"/>
                <w:lang w:eastAsia="en-GB"/>
              </w:rPr>
            </w:pPr>
            <w:r>
              <w:rPr>
                <w:rFonts w:eastAsia="Times New Roman" w:cs="Arial"/>
                <w:szCs w:val="20"/>
                <w:lang w:eastAsia="en-GB"/>
              </w:rPr>
              <w:t>4.1.2</w:t>
            </w:r>
          </w:p>
        </w:tc>
        <w:tc>
          <w:tcPr>
            <w:tcW w:w="8816" w:type="dxa"/>
            <w:tcBorders>
              <w:top w:val="nil"/>
              <w:left w:val="nil"/>
              <w:bottom w:val="nil"/>
              <w:right w:val="nil"/>
            </w:tcBorders>
          </w:tcPr>
          <w:p w14:paraId="6881FFB7" w14:textId="77777777" w:rsidR="00A92F05" w:rsidRDefault="00A92F05" w:rsidP="005254BF">
            <w:r>
              <w:t>If a tenancy is assigned during a mutual exchange, the tenants take on each other's tenancies.</w:t>
            </w:r>
          </w:p>
          <w:p w14:paraId="683A15B9" w14:textId="10A2F0F2" w:rsidR="00A92F05" w:rsidRDefault="00A92F05" w:rsidP="005254BF">
            <w:pPr>
              <w:rPr>
                <w:rFonts w:ascii="Calibri" w:eastAsia="Times New Roman" w:hAnsi="Calibri" w:cs="Arial"/>
                <w:szCs w:val="20"/>
                <w:lang w:eastAsia="en-GB"/>
              </w:rPr>
            </w:pPr>
          </w:p>
        </w:tc>
      </w:tr>
      <w:tr w:rsidR="0075576F" w:rsidRPr="007D0DCD" w14:paraId="74DDC7F4" w14:textId="77777777" w:rsidTr="66E037C6">
        <w:tc>
          <w:tcPr>
            <w:tcW w:w="817" w:type="dxa"/>
            <w:tcBorders>
              <w:top w:val="nil"/>
              <w:left w:val="nil"/>
              <w:bottom w:val="nil"/>
              <w:right w:val="nil"/>
            </w:tcBorders>
          </w:tcPr>
          <w:p w14:paraId="74B07529" w14:textId="77777777" w:rsidR="0075576F" w:rsidRPr="003C1B99" w:rsidRDefault="0075576F" w:rsidP="005254B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0F620F6" w14:textId="77777777" w:rsidR="0075576F" w:rsidRDefault="00E253A4" w:rsidP="005254BF">
            <w:pPr>
              <w:pStyle w:val="ListBullet1"/>
              <w:numPr>
                <w:ilvl w:val="0"/>
                <w:numId w:val="0"/>
              </w:numPr>
            </w:pPr>
            <w:r>
              <w:t>Mutual exchange is when tenants in social housing obtain written consent from their landlord to swap homes with other social housing residents. Mutual exchanges can take place between two or more properties and can be between the same or different landlords.</w:t>
            </w:r>
          </w:p>
          <w:p w14:paraId="308B8E45" w14:textId="45FCD4C7" w:rsidR="00A92F05" w:rsidRPr="00CC18FE" w:rsidRDefault="00A92F05" w:rsidP="005254BF">
            <w:pPr>
              <w:pStyle w:val="ListBullet1"/>
              <w:numPr>
                <w:ilvl w:val="0"/>
                <w:numId w:val="0"/>
              </w:numPr>
              <w:rPr>
                <w:rFonts w:ascii="Calibri" w:hAnsi="Calibri"/>
                <w:lang w:eastAsia="en-GB"/>
              </w:rPr>
            </w:pPr>
          </w:p>
        </w:tc>
      </w:tr>
      <w:tr w:rsidR="005D425F" w:rsidRPr="007D0DCD" w14:paraId="7E4510E5" w14:textId="77777777" w:rsidTr="66E037C6">
        <w:tc>
          <w:tcPr>
            <w:tcW w:w="817" w:type="dxa"/>
            <w:tcBorders>
              <w:top w:val="nil"/>
              <w:left w:val="nil"/>
              <w:bottom w:val="nil"/>
              <w:right w:val="nil"/>
            </w:tcBorders>
          </w:tcPr>
          <w:p w14:paraId="46A9F2FC" w14:textId="77777777" w:rsidR="005D425F" w:rsidRPr="003C1B99" w:rsidRDefault="005D425F" w:rsidP="005254B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7594ADC2" w14:textId="77777777" w:rsidR="005D425F" w:rsidRDefault="005D425F" w:rsidP="005254BF">
            <w:pPr>
              <w:pStyle w:val="ListBullet1"/>
              <w:numPr>
                <w:ilvl w:val="0"/>
                <w:numId w:val="0"/>
              </w:numPr>
            </w:pPr>
            <w:r w:rsidRPr="005D425F">
              <w:t>Mutual exchanges are carried out either by assignment or surrender and re-grant of tenancies.</w:t>
            </w:r>
            <w:r>
              <w:t xml:space="preserve"> </w:t>
            </w:r>
            <w:r w:rsidRPr="005D425F">
              <w:t>This is determined by the tenancy that each of the exchange partners have.</w:t>
            </w:r>
          </w:p>
          <w:p w14:paraId="00DB75DB" w14:textId="11E49D4F" w:rsidR="00A92F05" w:rsidRDefault="00A92F05" w:rsidP="005254BF">
            <w:pPr>
              <w:pStyle w:val="ListBullet1"/>
              <w:numPr>
                <w:ilvl w:val="0"/>
                <w:numId w:val="0"/>
              </w:numPr>
            </w:pPr>
          </w:p>
        </w:tc>
      </w:tr>
      <w:tr w:rsidR="009E4FB5" w:rsidRPr="007D0DCD" w14:paraId="5B583A38" w14:textId="77777777" w:rsidTr="66E037C6">
        <w:tc>
          <w:tcPr>
            <w:tcW w:w="817" w:type="dxa"/>
            <w:tcBorders>
              <w:top w:val="nil"/>
              <w:left w:val="nil"/>
              <w:bottom w:val="nil"/>
              <w:right w:val="nil"/>
            </w:tcBorders>
          </w:tcPr>
          <w:p w14:paraId="3106A301" w14:textId="77777777" w:rsidR="009E4FB5" w:rsidRPr="003C1B99" w:rsidRDefault="009E4FB5" w:rsidP="009E4FB5">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6A8231F" w14:textId="55D1BB56" w:rsidR="009E4FB5" w:rsidRPr="00CC18FE" w:rsidRDefault="009E4FB5" w:rsidP="009E4FB5">
            <w:pPr>
              <w:pStyle w:val="ListBullet1"/>
              <w:numPr>
                <w:ilvl w:val="0"/>
                <w:numId w:val="0"/>
              </w:numPr>
              <w:rPr>
                <w:rFonts w:ascii="Calibri" w:hAnsi="Calibri"/>
                <w:lang w:eastAsia="en-GB"/>
              </w:rPr>
            </w:pPr>
            <w:r>
              <w:t>A succession is where the tenancy is transferred upon the death of the tenant.</w:t>
            </w:r>
          </w:p>
        </w:tc>
      </w:tr>
      <w:tr w:rsidR="009E4FB5" w:rsidRPr="007D0DCD" w14:paraId="1E72D501" w14:textId="77777777" w:rsidTr="66E037C6">
        <w:tc>
          <w:tcPr>
            <w:tcW w:w="817" w:type="dxa"/>
            <w:tcBorders>
              <w:top w:val="nil"/>
              <w:left w:val="nil"/>
              <w:bottom w:val="nil"/>
              <w:right w:val="nil"/>
            </w:tcBorders>
          </w:tcPr>
          <w:p w14:paraId="0CC50AAB" w14:textId="77777777" w:rsidR="009E4FB5" w:rsidRPr="007D0DCD" w:rsidRDefault="009E4FB5" w:rsidP="009E4FB5">
            <w:pPr>
              <w:rPr>
                <w:rFonts w:ascii="Calibri" w:eastAsia="Times New Roman" w:hAnsi="Calibri" w:cs="Arial"/>
                <w:szCs w:val="20"/>
                <w:lang w:eastAsia="en-GB"/>
              </w:rPr>
            </w:pPr>
          </w:p>
        </w:tc>
        <w:tc>
          <w:tcPr>
            <w:tcW w:w="8816" w:type="dxa"/>
            <w:tcBorders>
              <w:top w:val="nil"/>
              <w:left w:val="nil"/>
              <w:bottom w:val="nil"/>
              <w:right w:val="nil"/>
            </w:tcBorders>
          </w:tcPr>
          <w:p w14:paraId="7E36FC1D" w14:textId="77777777" w:rsidR="009E4FB5" w:rsidRPr="007D0DCD" w:rsidRDefault="009E4FB5" w:rsidP="009E4FB5">
            <w:pPr>
              <w:rPr>
                <w:rFonts w:ascii="Calibri" w:eastAsia="Times New Roman" w:hAnsi="Calibri" w:cs="Arial"/>
                <w:szCs w:val="20"/>
                <w:lang w:eastAsia="en-GB"/>
              </w:rPr>
            </w:pPr>
          </w:p>
        </w:tc>
      </w:tr>
      <w:tr w:rsidR="009E4FB5" w:rsidRPr="007D0DCD" w14:paraId="0D12B5F6" w14:textId="77777777" w:rsidTr="66E037C6">
        <w:trPr>
          <w:trHeight w:hRule="exact" w:val="340"/>
        </w:trPr>
        <w:tc>
          <w:tcPr>
            <w:tcW w:w="817" w:type="dxa"/>
            <w:tcBorders>
              <w:top w:val="nil"/>
              <w:left w:val="nil"/>
              <w:bottom w:val="nil"/>
              <w:right w:val="nil"/>
            </w:tcBorders>
          </w:tcPr>
          <w:p w14:paraId="1A29E1DA" w14:textId="77777777" w:rsidR="009E4FB5" w:rsidRPr="005927A0" w:rsidRDefault="009E4FB5" w:rsidP="009E4FB5">
            <w:pPr>
              <w:pStyle w:val="ListParagraph"/>
              <w:numPr>
                <w:ilvl w:val="0"/>
                <w:numId w:val="5"/>
              </w:numPr>
            </w:pPr>
          </w:p>
        </w:tc>
        <w:tc>
          <w:tcPr>
            <w:tcW w:w="8816" w:type="dxa"/>
            <w:tcBorders>
              <w:top w:val="nil"/>
              <w:left w:val="nil"/>
              <w:bottom w:val="nil"/>
              <w:right w:val="nil"/>
            </w:tcBorders>
          </w:tcPr>
          <w:p w14:paraId="53CA25A3" w14:textId="032AB4BA" w:rsidR="009E4FB5" w:rsidRPr="000D655A" w:rsidRDefault="009E4FB5" w:rsidP="009E4FB5">
            <w:pPr>
              <w:pStyle w:val="Heading1"/>
              <w:rPr>
                <w:lang w:val="en-US"/>
              </w:rPr>
            </w:pPr>
            <w:bookmarkStart w:id="13" w:name="_Toc116910372"/>
            <w:r>
              <w:rPr>
                <w:lang w:val="en-US"/>
              </w:rPr>
              <w:t>OUR POLICY</w:t>
            </w:r>
            <w:bookmarkEnd w:id="13"/>
          </w:p>
        </w:tc>
      </w:tr>
      <w:tr w:rsidR="009E4FB5" w:rsidRPr="007D0DCD" w14:paraId="18912B3D" w14:textId="77777777" w:rsidTr="66E037C6">
        <w:tc>
          <w:tcPr>
            <w:tcW w:w="817" w:type="dxa"/>
            <w:tcBorders>
              <w:top w:val="nil"/>
              <w:left w:val="nil"/>
              <w:bottom w:val="nil"/>
              <w:right w:val="nil"/>
            </w:tcBorders>
          </w:tcPr>
          <w:p w14:paraId="2E11EB5A" w14:textId="77777777" w:rsidR="009E4FB5" w:rsidRPr="00EF55CC" w:rsidRDefault="009E4FB5" w:rsidP="009E4FB5">
            <w:pPr>
              <w:rPr>
                <w:lang w:eastAsia="en-GB"/>
              </w:rPr>
            </w:pPr>
          </w:p>
        </w:tc>
        <w:tc>
          <w:tcPr>
            <w:tcW w:w="8816" w:type="dxa"/>
            <w:tcBorders>
              <w:top w:val="nil"/>
              <w:left w:val="nil"/>
              <w:bottom w:val="nil"/>
              <w:right w:val="nil"/>
            </w:tcBorders>
          </w:tcPr>
          <w:p w14:paraId="007EB923" w14:textId="77777777" w:rsidR="009E4FB5" w:rsidRPr="00BA26F4" w:rsidRDefault="009E4FB5" w:rsidP="009E4FB5">
            <w:pPr>
              <w:rPr>
                <w:i/>
                <w:iCs/>
                <w:color w:val="A6A6A6" w:themeColor="background1" w:themeShade="A6"/>
                <w:lang w:val="en-US"/>
              </w:rPr>
            </w:pPr>
          </w:p>
        </w:tc>
      </w:tr>
      <w:tr w:rsidR="006102EF" w:rsidRPr="007D0DCD" w14:paraId="7FB1F249" w14:textId="77777777" w:rsidTr="66E037C6">
        <w:tc>
          <w:tcPr>
            <w:tcW w:w="817" w:type="dxa"/>
            <w:tcBorders>
              <w:top w:val="nil"/>
              <w:left w:val="nil"/>
              <w:bottom w:val="nil"/>
              <w:right w:val="nil"/>
            </w:tcBorders>
          </w:tcPr>
          <w:p w14:paraId="3A11788C" w14:textId="77777777" w:rsidR="006102EF" w:rsidRPr="003C1B99" w:rsidRDefault="006102EF" w:rsidP="009E4FB5">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2D51A3F" w14:textId="77777777" w:rsidR="005D425F" w:rsidRDefault="006102EF" w:rsidP="006102EF">
            <w:r>
              <w:t xml:space="preserve">Tenants are not allowed to assign or pass on the tenancy except in the following circumstances: </w:t>
            </w:r>
          </w:p>
          <w:p w14:paraId="03EE7D0E" w14:textId="77777777" w:rsidR="005D425F" w:rsidRDefault="006102EF" w:rsidP="005D425F">
            <w:pPr>
              <w:pStyle w:val="ListBullet1"/>
              <w:numPr>
                <w:ilvl w:val="0"/>
                <w:numId w:val="22"/>
              </w:numPr>
            </w:pPr>
            <w:r>
              <w:t xml:space="preserve">by way of mutual exchange with a tenant of another Social Housing Landlord; or </w:t>
            </w:r>
          </w:p>
          <w:p w14:paraId="4BC45B0A" w14:textId="2BBF8909" w:rsidR="005D425F" w:rsidRDefault="006102EF" w:rsidP="005D425F">
            <w:pPr>
              <w:pStyle w:val="ListBullet1"/>
              <w:numPr>
                <w:ilvl w:val="0"/>
                <w:numId w:val="22"/>
              </w:numPr>
            </w:pPr>
            <w:r>
              <w:t xml:space="preserve">if ordered to do so by the court in matrimonial proceedings or in accordance with Schedule 1 of the Children Act 1989; or </w:t>
            </w:r>
          </w:p>
          <w:p w14:paraId="471D2CC3" w14:textId="77777777" w:rsidR="006102EF" w:rsidRDefault="006102EF" w:rsidP="005D425F">
            <w:pPr>
              <w:pStyle w:val="ListBullet1"/>
              <w:numPr>
                <w:ilvl w:val="0"/>
                <w:numId w:val="22"/>
              </w:numPr>
            </w:pPr>
            <w:r>
              <w:t>to a person who would be qualified to succeed to the tenancy (such qualification being determined by the provisions of the Tenancy Agreement in the event of the tenant’s death).</w:t>
            </w:r>
          </w:p>
          <w:p w14:paraId="4B4A6282" w14:textId="4DD0511B" w:rsidR="000A6E5F" w:rsidRDefault="000A6E5F" w:rsidP="000A6E5F">
            <w:pPr>
              <w:pStyle w:val="ListBullet1"/>
              <w:numPr>
                <w:ilvl w:val="0"/>
                <w:numId w:val="0"/>
              </w:numPr>
              <w:ind w:left="720"/>
            </w:pPr>
          </w:p>
        </w:tc>
      </w:tr>
      <w:tr w:rsidR="00DD2B6B" w:rsidRPr="007D0DCD" w14:paraId="3BA52E2F" w14:textId="77777777" w:rsidTr="66E037C6">
        <w:tc>
          <w:tcPr>
            <w:tcW w:w="817" w:type="dxa"/>
            <w:tcBorders>
              <w:top w:val="nil"/>
              <w:left w:val="nil"/>
              <w:bottom w:val="nil"/>
              <w:right w:val="nil"/>
            </w:tcBorders>
          </w:tcPr>
          <w:p w14:paraId="782CEAA8" w14:textId="77777777" w:rsidR="00DD2B6B" w:rsidRPr="003C1B99" w:rsidRDefault="00DD2B6B" w:rsidP="009E4FB5">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6E33287D" w14:textId="0DA2086F" w:rsidR="00DD2B6B" w:rsidRPr="004E5DDF" w:rsidRDefault="00DD2B6B" w:rsidP="009E4FB5">
            <w:pPr>
              <w:rPr>
                <w:b/>
                <w:bCs/>
              </w:rPr>
            </w:pPr>
            <w:r w:rsidRPr="004E5DDF">
              <w:rPr>
                <w:b/>
                <w:bCs/>
              </w:rPr>
              <w:t>Mutual Exchange</w:t>
            </w:r>
          </w:p>
        </w:tc>
      </w:tr>
      <w:tr w:rsidR="003604D4" w:rsidRPr="007D0DCD" w14:paraId="6AB69FDE" w14:textId="77777777" w:rsidTr="66E037C6">
        <w:tc>
          <w:tcPr>
            <w:tcW w:w="817" w:type="dxa"/>
            <w:tcBorders>
              <w:top w:val="nil"/>
              <w:left w:val="nil"/>
              <w:bottom w:val="nil"/>
              <w:right w:val="nil"/>
            </w:tcBorders>
          </w:tcPr>
          <w:p w14:paraId="13C4155F" w14:textId="77777777" w:rsidR="003604D4" w:rsidRPr="003C1B99" w:rsidRDefault="003604D4" w:rsidP="003604D4">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6474AA50" w14:textId="77777777" w:rsidR="003604D4" w:rsidRPr="004E5DDF" w:rsidRDefault="003604D4" w:rsidP="009E4FB5">
            <w:pPr>
              <w:rPr>
                <w:b/>
                <w:bCs/>
              </w:rPr>
            </w:pPr>
          </w:p>
        </w:tc>
      </w:tr>
      <w:tr w:rsidR="00DD2B6B" w:rsidRPr="007D0DCD" w14:paraId="72A60590" w14:textId="77777777" w:rsidTr="66E037C6">
        <w:tc>
          <w:tcPr>
            <w:tcW w:w="817" w:type="dxa"/>
            <w:tcBorders>
              <w:top w:val="nil"/>
              <w:left w:val="nil"/>
              <w:bottom w:val="nil"/>
              <w:right w:val="nil"/>
            </w:tcBorders>
          </w:tcPr>
          <w:p w14:paraId="4AE994C5" w14:textId="77777777" w:rsidR="00DD2B6B" w:rsidRPr="003C1B99" w:rsidRDefault="00DD2B6B"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93B467E" w14:textId="77777777" w:rsidR="00DD2B6B" w:rsidRDefault="00DD2B6B" w:rsidP="009E4FB5">
            <w:r>
              <w:t xml:space="preserve">For the purposes of this Policy ‘mutual exchange’ is defined as an exchange of accommodation between two or more tenants. Mutual exchanges can take place between local authority and Registered Provider tenants (Housing Associations) providing: </w:t>
            </w:r>
          </w:p>
          <w:p w14:paraId="2A7C7CFD" w14:textId="5F3FEDFD" w:rsidR="00DD2B6B" w:rsidRDefault="00DD2B6B" w:rsidP="003604D4">
            <w:pPr>
              <w:pStyle w:val="ListBullet1"/>
            </w:pPr>
            <w:r>
              <w:t>They have the right to mutual exchange</w:t>
            </w:r>
            <w:r w:rsidR="000A6E5F">
              <w:t>;</w:t>
            </w:r>
          </w:p>
          <w:p w14:paraId="7E6648F0" w14:textId="388D81F1" w:rsidR="003604D4" w:rsidRDefault="00DD2B6B" w:rsidP="003604D4">
            <w:pPr>
              <w:pStyle w:val="ListBullet1"/>
            </w:pPr>
            <w:r>
              <w:t>Both parties wish to exchange</w:t>
            </w:r>
            <w:r w:rsidR="000A6E5F">
              <w:t>;</w:t>
            </w:r>
          </w:p>
          <w:p w14:paraId="50CEB585" w14:textId="57C01158" w:rsidR="00DD2B6B" w:rsidRDefault="00DD2B6B" w:rsidP="003604D4">
            <w:pPr>
              <w:pStyle w:val="ListBullet1"/>
            </w:pPr>
            <w:r>
              <w:t>They have the written permission of their existing landlord to exchange and no grounds for refusal apply.</w:t>
            </w:r>
          </w:p>
          <w:p w14:paraId="7DFD1F48" w14:textId="1369BE0F" w:rsidR="000A6E5F" w:rsidRDefault="000A6E5F" w:rsidP="009E4FB5"/>
        </w:tc>
      </w:tr>
      <w:tr w:rsidR="00DD2B6B" w:rsidRPr="007D0DCD" w14:paraId="37F81312" w14:textId="77777777" w:rsidTr="66E037C6">
        <w:tc>
          <w:tcPr>
            <w:tcW w:w="817" w:type="dxa"/>
            <w:tcBorders>
              <w:top w:val="nil"/>
              <w:left w:val="nil"/>
              <w:bottom w:val="nil"/>
              <w:right w:val="nil"/>
            </w:tcBorders>
          </w:tcPr>
          <w:p w14:paraId="6630619E" w14:textId="77777777" w:rsidR="00DD2B6B" w:rsidRPr="003C1B99" w:rsidRDefault="00DD2B6B"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2F56005" w14:textId="23BFC030" w:rsidR="00DD2B6B" w:rsidRDefault="00DD2B6B" w:rsidP="009E4FB5">
            <w:r>
              <w:t xml:space="preserve">The Trust supports </w:t>
            </w:r>
            <w:r w:rsidR="2A7A5E76">
              <w:t>tenants'</w:t>
            </w:r>
            <w:r>
              <w:t xml:space="preserve"> rights to mutual exchange and promotes opportunities for exchange via a subscription to the ‘</w:t>
            </w:r>
            <w:proofErr w:type="spellStart"/>
            <w:r>
              <w:t>HomeSwapper</w:t>
            </w:r>
            <w:proofErr w:type="spellEnd"/>
            <w:r>
              <w:t xml:space="preserve">’ service. This service allows Trust </w:t>
            </w:r>
            <w:r w:rsidR="000A6E5F">
              <w:t>tenant</w:t>
            </w:r>
            <w:r>
              <w:t>s to access, free of charge, a national register of tenants looking to mutually exchange and will find potential matches in a tenants’ area of choice</w:t>
            </w:r>
            <w:r w:rsidR="000A6E5F">
              <w:t>.</w:t>
            </w:r>
            <w:r w:rsidR="2D2CBD3F">
              <w:t xml:space="preserve"> </w:t>
            </w:r>
            <w:r w:rsidR="00CD0287">
              <w:t xml:space="preserve">The Trust’s </w:t>
            </w:r>
            <w:r w:rsidR="2D2CBD3F">
              <w:t xml:space="preserve">Neighbourhood Team can help to support customers with applications. </w:t>
            </w:r>
          </w:p>
          <w:p w14:paraId="691DD16C" w14:textId="251690E0" w:rsidR="000A6E5F" w:rsidRDefault="000A6E5F" w:rsidP="009E4FB5"/>
        </w:tc>
      </w:tr>
      <w:tr w:rsidR="000A6E5F" w:rsidRPr="007D0DCD" w14:paraId="099BC3A9" w14:textId="77777777" w:rsidTr="66E037C6">
        <w:tc>
          <w:tcPr>
            <w:tcW w:w="817" w:type="dxa"/>
            <w:tcBorders>
              <w:top w:val="nil"/>
              <w:left w:val="nil"/>
              <w:bottom w:val="nil"/>
              <w:right w:val="nil"/>
            </w:tcBorders>
          </w:tcPr>
          <w:p w14:paraId="09877A62"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2737937" w14:textId="4E8E947C" w:rsidR="000A6E5F" w:rsidRDefault="00546652" w:rsidP="000A6E5F">
            <w:r>
              <w:t>Tenants</w:t>
            </w:r>
            <w:r w:rsidR="000A6E5F">
              <w:t xml:space="preserve"> are responsible for finding their own mutual exchange partner and for making an application to </w:t>
            </w:r>
            <w:r w:rsidR="00CD0287">
              <w:t xml:space="preserve">the Trust </w:t>
            </w:r>
            <w:r w:rsidR="000A6E5F">
              <w:t xml:space="preserve">once they have found </w:t>
            </w:r>
            <w:r w:rsidR="00CD0287">
              <w:t>an exchange partner</w:t>
            </w:r>
            <w:r w:rsidR="000A6E5F">
              <w:t>. We will provide guidance and support to customers where this is required.</w:t>
            </w:r>
          </w:p>
          <w:p w14:paraId="2D6EAAD0" w14:textId="77777777" w:rsidR="000A6E5F" w:rsidRDefault="000A6E5F" w:rsidP="009E4FB5"/>
        </w:tc>
      </w:tr>
      <w:tr w:rsidR="00A92F05" w:rsidRPr="007D0DCD" w14:paraId="0ADD1023" w14:textId="77777777" w:rsidTr="66E037C6">
        <w:tc>
          <w:tcPr>
            <w:tcW w:w="817" w:type="dxa"/>
            <w:tcBorders>
              <w:top w:val="nil"/>
              <w:left w:val="nil"/>
              <w:bottom w:val="nil"/>
              <w:right w:val="nil"/>
            </w:tcBorders>
          </w:tcPr>
          <w:p w14:paraId="2DABBCD6" w14:textId="77777777" w:rsidR="00A92F05" w:rsidRPr="003C1B99" w:rsidRDefault="00A92F05"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0619324" w14:textId="77777777" w:rsidR="00A92F05" w:rsidRDefault="00A92F05" w:rsidP="000A6E5F">
            <w:r>
              <w:t>Exchanges can be two way or may involve multiple swaps in a chain. There are no limits to the number of times a tenant may exchange and tenants can apply to exchange again at any time after swapping homes.</w:t>
            </w:r>
          </w:p>
          <w:p w14:paraId="30781C29" w14:textId="6187E720" w:rsidR="00A92F05" w:rsidRDefault="00A92F05" w:rsidP="000A6E5F"/>
        </w:tc>
      </w:tr>
      <w:tr w:rsidR="00A92F05" w:rsidRPr="007D0DCD" w14:paraId="1ABE3860" w14:textId="77777777" w:rsidTr="66E037C6">
        <w:tc>
          <w:tcPr>
            <w:tcW w:w="817" w:type="dxa"/>
            <w:tcBorders>
              <w:top w:val="nil"/>
              <w:left w:val="nil"/>
              <w:bottom w:val="nil"/>
              <w:right w:val="nil"/>
            </w:tcBorders>
          </w:tcPr>
          <w:p w14:paraId="65B769CF" w14:textId="77777777" w:rsidR="00A92F05" w:rsidRPr="003C1B99" w:rsidRDefault="00A92F05"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6ED222F" w14:textId="2F874DA4" w:rsidR="00A92F05" w:rsidRDefault="00A92F05" w:rsidP="000A6E5F">
            <w:r>
              <w:t>We advise our tenants they must not give or receive money or any other incentive as part of an exchange and that we can take possession action if they do so.</w:t>
            </w:r>
          </w:p>
          <w:p w14:paraId="48630B88" w14:textId="217C8280" w:rsidR="00A92F05" w:rsidRDefault="00A92F05" w:rsidP="000A6E5F"/>
        </w:tc>
      </w:tr>
      <w:tr w:rsidR="000A6E5F" w:rsidRPr="007D0DCD" w14:paraId="3FB08BB3" w14:textId="77777777" w:rsidTr="66E037C6">
        <w:tc>
          <w:tcPr>
            <w:tcW w:w="817" w:type="dxa"/>
            <w:tcBorders>
              <w:top w:val="nil"/>
              <w:left w:val="nil"/>
              <w:bottom w:val="nil"/>
              <w:right w:val="nil"/>
            </w:tcBorders>
          </w:tcPr>
          <w:p w14:paraId="340C220A"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A52EA32" w14:textId="616CE7B2" w:rsidR="000A6E5F" w:rsidRDefault="2EA8FAC8" w:rsidP="000A6E5F">
            <w:r>
              <w:t xml:space="preserve">We must receive applications for permission to exchange from all parties to start the assessment. We cannot start to process applications until all have been received by </w:t>
            </w:r>
            <w:r w:rsidR="00CD0287">
              <w:t>the Trust</w:t>
            </w:r>
            <w:r>
              <w:t xml:space="preserve">. Permission must be given in writing before an exchange can take place. </w:t>
            </w:r>
          </w:p>
          <w:p w14:paraId="5082A995" w14:textId="77777777" w:rsidR="000A6E5F" w:rsidRDefault="000A6E5F" w:rsidP="000A6E5F"/>
        </w:tc>
      </w:tr>
      <w:tr w:rsidR="00546652" w:rsidRPr="007D0DCD" w14:paraId="3BEBB8C4" w14:textId="77777777" w:rsidTr="66E037C6">
        <w:tc>
          <w:tcPr>
            <w:tcW w:w="817" w:type="dxa"/>
            <w:tcBorders>
              <w:top w:val="nil"/>
              <w:left w:val="nil"/>
              <w:bottom w:val="nil"/>
              <w:right w:val="nil"/>
            </w:tcBorders>
          </w:tcPr>
          <w:p w14:paraId="7AA0E2E8" w14:textId="77777777" w:rsidR="00546652" w:rsidRPr="003C1B99" w:rsidRDefault="00546652"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E0CACEB" w14:textId="13855B42" w:rsidR="00546652" w:rsidRDefault="00546652" w:rsidP="000A6E5F">
            <w:r>
              <w:t>Tenants who request a mutual exchange will be advised of any changes in their rights and terms of tenancy relating to an exchange with a tenant of</w:t>
            </w:r>
            <w:r w:rsidR="00CD0287">
              <w:t xml:space="preserve"> the Trust or with</w:t>
            </w:r>
            <w:r>
              <w:t xml:space="preserve"> another landlord, as far as is practicable. </w:t>
            </w:r>
          </w:p>
          <w:p w14:paraId="092DC503" w14:textId="144D266F" w:rsidR="00546652" w:rsidRDefault="00546652" w:rsidP="000A6E5F"/>
        </w:tc>
      </w:tr>
      <w:tr w:rsidR="000A6E5F" w:rsidRPr="007D0DCD" w14:paraId="05CA2EC8" w14:textId="77777777" w:rsidTr="66E037C6">
        <w:tc>
          <w:tcPr>
            <w:tcW w:w="817" w:type="dxa"/>
            <w:tcBorders>
              <w:top w:val="nil"/>
              <w:left w:val="nil"/>
              <w:bottom w:val="nil"/>
              <w:right w:val="nil"/>
            </w:tcBorders>
          </w:tcPr>
          <w:p w14:paraId="7BA6893F"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9099683" w14:textId="3AAD3D0C" w:rsidR="000A6E5F" w:rsidRDefault="000A6E5F" w:rsidP="000A6E5F">
            <w:r>
              <w:t xml:space="preserve">Incoming </w:t>
            </w:r>
            <w:r w:rsidR="00CD0287">
              <w:t>tenants</w:t>
            </w:r>
            <w:r>
              <w:t xml:space="preserve"> must make truthful applications and must agree to accept the condition of the property they are exchanging to. They are responsible for ensuring they have inspected the property and will be required to give us written acceptance of the property condition and its suitability for their household’s needs.</w:t>
            </w:r>
          </w:p>
          <w:p w14:paraId="3EEC2EBF" w14:textId="38715685" w:rsidR="000A6E5F" w:rsidRDefault="000A6E5F" w:rsidP="000A6E5F"/>
        </w:tc>
      </w:tr>
      <w:tr w:rsidR="000A6E5F" w:rsidRPr="007D0DCD" w14:paraId="7040BA28" w14:textId="77777777" w:rsidTr="66E037C6">
        <w:tc>
          <w:tcPr>
            <w:tcW w:w="817" w:type="dxa"/>
            <w:tcBorders>
              <w:top w:val="nil"/>
              <w:left w:val="nil"/>
              <w:bottom w:val="nil"/>
              <w:right w:val="nil"/>
            </w:tcBorders>
          </w:tcPr>
          <w:p w14:paraId="52FE49BC"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EBBC8F6" w14:textId="77777777" w:rsidR="000A6E5F" w:rsidRDefault="000A6E5F" w:rsidP="000A6E5F">
            <w:r>
              <w:t>Where an application for mutual exchange is received that involves another landlord, the Trust will co-operate fully in any information exchanges required to facilitate the moves. In all cases, the Trust will ensure all relevant data protection requirements are met and necessary consents are obtained from the exchanging parties as per the Data Protection Policy.</w:t>
            </w:r>
          </w:p>
          <w:p w14:paraId="005FA4C5" w14:textId="7E329142" w:rsidR="000A6E5F" w:rsidRDefault="000A6E5F" w:rsidP="000A6E5F"/>
        </w:tc>
      </w:tr>
      <w:tr w:rsidR="000A6E5F" w:rsidRPr="007D0DCD" w14:paraId="62256930" w14:textId="77777777" w:rsidTr="66E037C6">
        <w:tc>
          <w:tcPr>
            <w:tcW w:w="817" w:type="dxa"/>
            <w:tcBorders>
              <w:top w:val="nil"/>
              <w:left w:val="nil"/>
              <w:bottom w:val="nil"/>
              <w:right w:val="nil"/>
            </w:tcBorders>
          </w:tcPr>
          <w:p w14:paraId="100CC772"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8E83262" w14:textId="77777777" w:rsidR="000A6E5F" w:rsidRDefault="000A6E5F" w:rsidP="000A6E5F">
            <w:r>
              <w:t>Properties in our ownership or management, which are party to a proposed exchange, will be inspected prior to the move to review the condition of the property and whether the tenancy conditions have been complied with. The Trust may withhold consent to exchange until a condition is satisfied or may refuse the exchange where applicable (for example in accordance with our policies, tenancy terms and/or all legislation).</w:t>
            </w:r>
          </w:p>
          <w:p w14:paraId="554C1098" w14:textId="7401F621" w:rsidR="000A6E5F" w:rsidRDefault="000A6E5F" w:rsidP="000A6E5F"/>
        </w:tc>
      </w:tr>
      <w:tr w:rsidR="000A6E5F" w:rsidRPr="007D0DCD" w14:paraId="1D4477EA" w14:textId="77777777" w:rsidTr="66E037C6">
        <w:tc>
          <w:tcPr>
            <w:tcW w:w="817" w:type="dxa"/>
            <w:tcBorders>
              <w:top w:val="nil"/>
              <w:left w:val="nil"/>
              <w:bottom w:val="nil"/>
              <w:right w:val="nil"/>
            </w:tcBorders>
          </w:tcPr>
          <w:p w14:paraId="2E501296"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9A1432E" w14:textId="4749B825" w:rsidR="000A6E5F" w:rsidRDefault="000A6E5F" w:rsidP="000A6E5F">
            <w:r>
              <w:t xml:space="preserve">We will give a </w:t>
            </w:r>
            <w:r w:rsidR="00A92F05">
              <w:t xml:space="preserve">written </w:t>
            </w:r>
            <w:r>
              <w:t>decision on a mutual exchange request within 42 calendar days from the date of receipt of full and complete application forms from all parties.</w:t>
            </w:r>
            <w:r w:rsidR="00A92F05">
              <w:t xml:space="preserve"> Reasons for not giving consent are set out in legislation, as is the 42 day requirement. Our decision will be given in writing and will state the reasons for withholding consent where an application is declined.</w:t>
            </w:r>
          </w:p>
          <w:p w14:paraId="50E5DC62" w14:textId="693D257F" w:rsidR="000A6E5F" w:rsidRDefault="000A6E5F" w:rsidP="000A6E5F"/>
        </w:tc>
      </w:tr>
      <w:tr w:rsidR="000A6E5F" w:rsidRPr="007D0DCD" w14:paraId="407297D2" w14:textId="77777777" w:rsidTr="66E037C6">
        <w:tc>
          <w:tcPr>
            <w:tcW w:w="817" w:type="dxa"/>
            <w:tcBorders>
              <w:top w:val="nil"/>
              <w:left w:val="nil"/>
              <w:bottom w:val="nil"/>
              <w:right w:val="nil"/>
            </w:tcBorders>
          </w:tcPr>
          <w:p w14:paraId="14501561"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446A46B" w14:textId="77777777" w:rsidR="000A6E5F" w:rsidRDefault="2EA8FAC8" w:rsidP="000A6E5F">
            <w:r w:rsidRPr="66E037C6">
              <w:rPr>
                <w:rFonts w:ascii="Calibri" w:eastAsia="Times New Roman" w:hAnsi="Calibri" w:cs="Arial"/>
                <w:lang w:eastAsia="en-GB"/>
              </w:rPr>
              <w:t>W</w:t>
            </w:r>
            <w:r>
              <w:t>e will require the outgoing tenant to repair any damage, neglect or alterations that they, their household or their visitors have made to the property including any outbuildings and the garden. We will also ask them to complete any repairs that are their responsibility prior to consenting to the mutual exchange. In some circumstances we may agree to the mutual exchange if the incoming tenant accepts to take on responsibility for making good damage, neglect or alterations and carrying out customer responsibility repairs. We will make this clear in all communications and require written acceptance from the incoming customer. If there is a risk to health and safety, however, we will not consent to the mutual exchange.</w:t>
            </w:r>
          </w:p>
          <w:p w14:paraId="5F50F923" w14:textId="31863AFE" w:rsidR="000A6E5F" w:rsidRDefault="000A6E5F" w:rsidP="000A6E5F"/>
        </w:tc>
      </w:tr>
      <w:tr w:rsidR="000A6E5F" w:rsidRPr="007D0DCD" w14:paraId="03B0FA53" w14:textId="77777777" w:rsidTr="66E037C6">
        <w:tc>
          <w:tcPr>
            <w:tcW w:w="817" w:type="dxa"/>
            <w:tcBorders>
              <w:top w:val="nil"/>
              <w:left w:val="nil"/>
              <w:bottom w:val="nil"/>
              <w:right w:val="nil"/>
            </w:tcBorders>
          </w:tcPr>
          <w:p w14:paraId="3E44781F" w14:textId="77777777" w:rsidR="000A6E5F" w:rsidRPr="003C1B99" w:rsidRDefault="000A6E5F" w:rsidP="00DD2B6B">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601BC05" w14:textId="77777777" w:rsidR="000A6E5F" w:rsidRDefault="000A6E5F" w:rsidP="000A6E5F">
            <w:r>
              <w:t>The Trust shall have no responsibility for any contents left in the property by the outgoing tenant. The outgoing tenant is responsible for clearing all areas of the property before leaving, this includes loft spaces, gardens and the interior of the property. They must also dispose of all rubbish and not leave it behind.</w:t>
            </w:r>
          </w:p>
          <w:p w14:paraId="63C124E3" w14:textId="7E064B6C" w:rsidR="000A6E5F" w:rsidRDefault="000A6E5F" w:rsidP="000A6E5F">
            <w:pPr>
              <w:rPr>
                <w:rFonts w:ascii="Calibri" w:eastAsia="Times New Roman" w:hAnsi="Calibri" w:cs="Arial"/>
                <w:szCs w:val="20"/>
                <w:lang w:eastAsia="en-GB"/>
              </w:rPr>
            </w:pPr>
          </w:p>
        </w:tc>
      </w:tr>
      <w:tr w:rsidR="008B3788" w:rsidRPr="007D0DCD" w14:paraId="6ED30BD8" w14:textId="77777777" w:rsidTr="66E037C6">
        <w:tc>
          <w:tcPr>
            <w:tcW w:w="817" w:type="dxa"/>
            <w:tcBorders>
              <w:top w:val="nil"/>
              <w:left w:val="nil"/>
              <w:bottom w:val="nil"/>
              <w:right w:val="nil"/>
            </w:tcBorders>
          </w:tcPr>
          <w:p w14:paraId="78DAE241" w14:textId="77777777" w:rsidR="008B3788" w:rsidRPr="003C1B99" w:rsidRDefault="008B3788"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B437089" w14:textId="3F185806" w:rsidR="008B3788" w:rsidRDefault="008B3788" w:rsidP="009E4FB5">
            <w:r>
              <w:t xml:space="preserve">We will gather profile information on all new incoming tenants to ensure the continued delivery of tailored services. An assessment will also be made to provide direct </w:t>
            </w:r>
            <w:r w:rsidR="00CD0287">
              <w:t xml:space="preserve">support </w:t>
            </w:r>
            <w:r>
              <w:t>or signposting services for any household members that may be classed as vulnerable and have additional needs and to confirm affordability of the property.</w:t>
            </w:r>
            <w:r w:rsidR="00546652">
              <w:t xml:space="preserve"> We may offer signposting or support referrals. </w:t>
            </w:r>
          </w:p>
          <w:p w14:paraId="0026E2AF" w14:textId="359ABB91" w:rsidR="000A6E5F" w:rsidRDefault="000A6E5F" w:rsidP="009E4FB5"/>
        </w:tc>
      </w:tr>
      <w:tr w:rsidR="00546652" w:rsidRPr="007D0DCD" w14:paraId="402077A5" w14:textId="77777777" w:rsidTr="66E037C6">
        <w:tc>
          <w:tcPr>
            <w:tcW w:w="817" w:type="dxa"/>
            <w:tcBorders>
              <w:top w:val="nil"/>
              <w:left w:val="nil"/>
              <w:bottom w:val="nil"/>
              <w:right w:val="nil"/>
            </w:tcBorders>
          </w:tcPr>
          <w:p w14:paraId="4218774A" w14:textId="77777777" w:rsidR="00546652" w:rsidRPr="003C1B99" w:rsidRDefault="00546652"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1FD64DF" w14:textId="2588AFA4" w:rsidR="00546652" w:rsidRDefault="00546652" w:rsidP="009E4FB5">
            <w:r>
              <w:t>A tenant has the right to withdraw their application at any point up to signing the deed of assignment.</w:t>
            </w:r>
          </w:p>
          <w:p w14:paraId="3FA53649" w14:textId="601D18BD" w:rsidR="00546652" w:rsidRDefault="00546652" w:rsidP="009E4FB5"/>
        </w:tc>
      </w:tr>
      <w:tr w:rsidR="00546652" w:rsidRPr="007D0DCD" w14:paraId="5636A094" w14:textId="77777777" w:rsidTr="66E037C6">
        <w:tc>
          <w:tcPr>
            <w:tcW w:w="817" w:type="dxa"/>
            <w:tcBorders>
              <w:top w:val="nil"/>
              <w:left w:val="nil"/>
              <w:bottom w:val="nil"/>
              <w:right w:val="nil"/>
            </w:tcBorders>
          </w:tcPr>
          <w:p w14:paraId="435ADF60" w14:textId="77777777" w:rsidR="00546652" w:rsidRPr="003C1B99" w:rsidRDefault="00546652"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3743DF5" w14:textId="77777777" w:rsidR="00546652" w:rsidRDefault="00546652" w:rsidP="00546652">
            <w:r>
              <w:t>We will discuss rent and service charges with any incoming tenants and make clear the requirement to pay rent in advance on the day of the mutual exchange. We may defer a mutual exchange if rent is not paid at this time.</w:t>
            </w:r>
          </w:p>
          <w:p w14:paraId="10382D82" w14:textId="0F7250E8" w:rsidR="00546652" w:rsidRDefault="00546652" w:rsidP="00546652"/>
        </w:tc>
      </w:tr>
      <w:tr w:rsidR="00776501" w:rsidRPr="007D0DCD" w14:paraId="5013B6D1" w14:textId="77777777" w:rsidTr="66E037C6">
        <w:tc>
          <w:tcPr>
            <w:tcW w:w="817" w:type="dxa"/>
            <w:tcBorders>
              <w:top w:val="nil"/>
              <w:left w:val="nil"/>
              <w:bottom w:val="nil"/>
              <w:right w:val="nil"/>
            </w:tcBorders>
          </w:tcPr>
          <w:p w14:paraId="138BD0E9" w14:textId="77777777" w:rsidR="00776501" w:rsidRPr="003C1B99" w:rsidRDefault="00776501"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F52C804" w14:textId="31CB6841" w:rsidR="00776501" w:rsidRDefault="00776501" w:rsidP="00546652">
            <w:r>
              <w:t xml:space="preserve">We will make clear the costs associated with exchanging homes, including </w:t>
            </w:r>
            <w:r w:rsidR="00CD0287">
              <w:t>any</w:t>
            </w:r>
            <w:r>
              <w:t xml:space="preserve"> charges payable directly to the Trust for gas/electric/oil safety checks. These safety checks must be paid for before an exchange date is agreed with the other landlord and/or incoming customer</w:t>
            </w:r>
            <w:r w:rsidR="00EA0BC8">
              <w:t>.</w:t>
            </w:r>
          </w:p>
          <w:p w14:paraId="75DA3AEE" w14:textId="5984C5FE" w:rsidR="00EA0BC8" w:rsidRDefault="00EA0BC8" w:rsidP="00546652"/>
        </w:tc>
      </w:tr>
      <w:tr w:rsidR="009E4FB5" w:rsidRPr="007D0DCD" w14:paraId="2AA5E58F" w14:textId="77777777" w:rsidTr="66E037C6">
        <w:tc>
          <w:tcPr>
            <w:tcW w:w="817" w:type="dxa"/>
            <w:tcBorders>
              <w:top w:val="nil"/>
              <w:left w:val="nil"/>
              <w:bottom w:val="nil"/>
              <w:right w:val="nil"/>
            </w:tcBorders>
          </w:tcPr>
          <w:p w14:paraId="30A55498" w14:textId="77777777" w:rsidR="009E4FB5" w:rsidRPr="003C1B99" w:rsidRDefault="009E4FB5"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3C9CEE6" w14:textId="27CBE4EA" w:rsidR="00546652" w:rsidRDefault="00CD0287" w:rsidP="00546652">
            <w:r>
              <w:t>Prior to</w:t>
            </w:r>
            <w:r w:rsidR="00546652">
              <w:t xml:space="preserve"> the assignment </w:t>
            </w:r>
            <w:r>
              <w:t>being</w:t>
            </w:r>
            <w:r w:rsidR="00546652">
              <w:t xml:space="preserve"> signed, the officer will explain the terms of the tenancy and assignment and the implications and expectations of signing the document. This is to ensure all parties understand what they are doing and the impact of doing so.</w:t>
            </w:r>
          </w:p>
          <w:p w14:paraId="51AB1087" w14:textId="54401679" w:rsidR="000A6E5F" w:rsidRPr="00DD6A8A" w:rsidRDefault="000A6E5F" w:rsidP="00546652">
            <w:pPr>
              <w:rPr>
                <w:rFonts w:eastAsia="Times New Roman" w:cs="Arial"/>
                <w:szCs w:val="20"/>
                <w:lang w:eastAsia="en-GB"/>
              </w:rPr>
            </w:pPr>
          </w:p>
        </w:tc>
      </w:tr>
      <w:tr w:rsidR="000A6E5F" w:rsidRPr="007D0DCD" w14:paraId="5620F14F" w14:textId="77777777" w:rsidTr="66E037C6">
        <w:tc>
          <w:tcPr>
            <w:tcW w:w="817" w:type="dxa"/>
            <w:tcBorders>
              <w:top w:val="nil"/>
              <w:left w:val="nil"/>
              <w:bottom w:val="nil"/>
              <w:right w:val="nil"/>
            </w:tcBorders>
          </w:tcPr>
          <w:p w14:paraId="5D858722" w14:textId="77777777" w:rsidR="000A6E5F" w:rsidRPr="003C1B99" w:rsidRDefault="000A6E5F"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B335801" w14:textId="77777777" w:rsidR="000A6E5F" w:rsidRDefault="000A6E5F" w:rsidP="009E4FB5">
            <w:r>
              <w:t>Following the mutual exchange, the incoming tenants will assume responsibility for any damage or alterations made to the property by the outgoing customer and for all repairs that we consider to be customer repair obligations that were not completed by the outgoing customer.</w:t>
            </w:r>
          </w:p>
          <w:p w14:paraId="669DFDDD" w14:textId="0A764D07" w:rsidR="000A6E5F" w:rsidRDefault="000A6E5F" w:rsidP="009E4FB5"/>
        </w:tc>
      </w:tr>
      <w:tr w:rsidR="000A6E5F" w:rsidRPr="007D0DCD" w14:paraId="65BCF188" w14:textId="77777777" w:rsidTr="66E037C6">
        <w:tc>
          <w:tcPr>
            <w:tcW w:w="817" w:type="dxa"/>
            <w:tcBorders>
              <w:top w:val="nil"/>
              <w:left w:val="nil"/>
              <w:bottom w:val="nil"/>
              <w:right w:val="nil"/>
            </w:tcBorders>
          </w:tcPr>
          <w:p w14:paraId="1B1525E3" w14:textId="77777777" w:rsidR="000A6E5F" w:rsidRPr="003C1B99" w:rsidRDefault="000A6E5F" w:rsidP="009E4FB5">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858AA80" w14:textId="26DAB9D1" w:rsidR="000A6E5F" w:rsidRDefault="000A6E5F" w:rsidP="009E4FB5">
            <w:r>
              <w:t xml:space="preserve">Tenants are responsible for making and paying for their own removal/exchange arrangements </w:t>
            </w:r>
            <w:r w:rsidR="00CD0287">
              <w:t>and</w:t>
            </w:r>
            <w:r>
              <w:t xml:space="preserve"> must be available to sign all necessary documents as required by the landlords.</w:t>
            </w:r>
          </w:p>
          <w:p w14:paraId="155B2C3E" w14:textId="20E48C11" w:rsidR="000A6E5F" w:rsidRDefault="000A6E5F" w:rsidP="009E4FB5"/>
        </w:tc>
      </w:tr>
      <w:tr w:rsidR="00A92F05" w:rsidRPr="007D0DCD" w14:paraId="06E5C83B" w14:textId="77777777" w:rsidTr="66E037C6">
        <w:tc>
          <w:tcPr>
            <w:tcW w:w="817" w:type="dxa"/>
            <w:tcBorders>
              <w:top w:val="nil"/>
              <w:left w:val="nil"/>
              <w:bottom w:val="nil"/>
              <w:right w:val="nil"/>
            </w:tcBorders>
          </w:tcPr>
          <w:p w14:paraId="112AA03E" w14:textId="77777777" w:rsidR="00A92F05" w:rsidRPr="003C1B99" w:rsidRDefault="00A92F05" w:rsidP="006102E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4F44741D" w14:textId="77777777" w:rsidR="00546652" w:rsidRDefault="00A92F05" w:rsidP="006102EF">
            <w:pPr>
              <w:pStyle w:val="ListBullet1"/>
              <w:numPr>
                <w:ilvl w:val="0"/>
                <w:numId w:val="0"/>
              </w:numPr>
            </w:pPr>
            <w:r>
              <w:rPr>
                <w:rFonts w:ascii="Calibri" w:hAnsi="Calibri"/>
                <w:b/>
                <w:bCs/>
                <w:lang w:eastAsia="en-GB"/>
              </w:rPr>
              <w:t xml:space="preserve">Reasons for refusal - </w:t>
            </w:r>
            <w:r w:rsidRPr="00A92F05">
              <w:rPr>
                <w:rFonts w:ascii="Calibri" w:hAnsi="Calibri"/>
                <w:lang w:eastAsia="en-GB"/>
              </w:rPr>
              <w:t>w</w:t>
            </w:r>
            <w:r w:rsidRPr="00A92F05">
              <w:t>e</w:t>
            </w:r>
            <w:r>
              <w:t xml:space="preserve"> may refuse a mutual exchange on any reasonable ground, including any of the grounds set out in </w:t>
            </w:r>
            <w:r w:rsidR="00546652">
              <w:t>Schedule 3 of the 1985 Housing Act and the Localism Act 2011 and in, for example, the following circumstances:</w:t>
            </w:r>
          </w:p>
          <w:p w14:paraId="58371799" w14:textId="77777777" w:rsidR="00546652" w:rsidRDefault="00546652" w:rsidP="00546652">
            <w:pPr>
              <w:pStyle w:val="ListBullet1"/>
              <w:numPr>
                <w:ilvl w:val="0"/>
                <w:numId w:val="26"/>
              </w:numPr>
              <w:rPr>
                <w:rFonts w:ascii="Calibri" w:hAnsi="Calibri"/>
                <w:b/>
                <w:bCs/>
                <w:lang w:eastAsia="en-GB"/>
              </w:rPr>
            </w:pPr>
            <w:r>
              <w:t>the tenant or proposed exchange partner has a possession order outstanding against them or a notice of seeking possession still in force;</w:t>
            </w:r>
          </w:p>
          <w:p w14:paraId="6054983C" w14:textId="77777777" w:rsidR="00546652" w:rsidRPr="00546652" w:rsidRDefault="00546652" w:rsidP="00546652">
            <w:pPr>
              <w:pStyle w:val="ListBullet1"/>
              <w:numPr>
                <w:ilvl w:val="0"/>
                <w:numId w:val="26"/>
              </w:numPr>
              <w:rPr>
                <w:rFonts w:ascii="Calibri" w:hAnsi="Calibri"/>
                <w:b/>
                <w:bCs/>
                <w:lang w:eastAsia="en-GB"/>
              </w:rPr>
            </w:pPr>
            <w:r>
              <w:t>the incoming tenant would substantially under-occupy the property;</w:t>
            </w:r>
          </w:p>
          <w:p w14:paraId="01CB6EF8" w14:textId="746CDAD6" w:rsidR="00546652" w:rsidRPr="00546652" w:rsidRDefault="00546652" w:rsidP="00546652">
            <w:pPr>
              <w:pStyle w:val="ListBullet1"/>
              <w:numPr>
                <w:ilvl w:val="0"/>
                <w:numId w:val="26"/>
              </w:numPr>
              <w:rPr>
                <w:rFonts w:ascii="Calibri" w:hAnsi="Calibri"/>
                <w:b/>
                <w:bCs/>
                <w:lang w:eastAsia="en-GB"/>
              </w:rPr>
            </w:pPr>
            <w:r>
              <w:t>the property is not suitable to the needs of the incoming tenant, including overcrowding;</w:t>
            </w:r>
          </w:p>
          <w:p w14:paraId="3194BA77" w14:textId="77777777" w:rsidR="00546652" w:rsidRPr="00CD0287" w:rsidRDefault="00546652" w:rsidP="00546652">
            <w:pPr>
              <w:pStyle w:val="ListBullet1"/>
              <w:numPr>
                <w:ilvl w:val="0"/>
                <w:numId w:val="26"/>
              </w:numPr>
              <w:rPr>
                <w:rFonts w:ascii="Calibri" w:hAnsi="Calibri"/>
                <w:b/>
                <w:bCs/>
                <w:lang w:eastAsia="en-GB"/>
              </w:rPr>
            </w:pPr>
            <w:r>
              <w:t>the accommodation is provided for disabled people or people with special needs and the incoming tenant does not meet the established criteria.</w:t>
            </w:r>
          </w:p>
          <w:p w14:paraId="2B521469" w14:textId="6ABA5833" w:rsidR="00CD0287" w:rsidRPr="00546652" w:rsidRDefault="00CD0287" w:rsidP="00CD0287">
            <w:pPr>
              <w:pStyle w:val="ListBullet1"/>
              <w:numPr>
                <w:ilvl w:val="0"/>
                <w:numId w:val="0"/>
              </w:numPr>
              <w:ind w:left="720"/>
              <w:rPr>
                <w:rFonts w:ascii="Calibri" w:hAnsi="Calibri"/>
                <w:b/>
                <w:bCs/>
                <w:lang w:eastAsia="en-GB"/>
              </w:rPr>
            </w:pPr>
          </w:p>
        </w:tc>
      </w:tr>
      <w:tr w:rsidR="00097912" w:rsidRPr="007D0DCD" w14:paraId="2A8DB42E" w14:textId="77777777" w:rsidTr="66E037C6">
        <w:tc>
          <w:tcPr>
            <w:tcW w:w="817" w:type="dxa"/>
            <w:tcBorders>
              <w:top w:val="nil"/>
              <w:left w:val="nil"/>
              <w:bottom w:val="nil"/>
              <w:right w:val="nil"/>
            </w:tcBorders>
          </w:tcPr>
          <w:p w14:paraId="5348C963" w14:textId="77777777" w:rsidR="00097912" w:rsidRPr="003C1B99" w:rsidRDefault="00097912" w:rsidP="00097912">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C8E0911" w14:textId="178BFC75" w:rsidR="00097912" w:rsidRDefault="00097912" w:rsidP="006102EF">
            <w:pPr>
              <w:pStyle w:val="ListBullet1"/>
              <w:numPr>
                <w:ilvl w:val="0"/>
                <w:numId w:val="0"/>
              </w:numPr>
            </w:pPr>
            <w:r>
              <w:t xml:space="preserve">If we refuse permission for a mutual exchange, Trust tenants may appeal the decision </w:t>
            </w:r>
            <w:r w:rsidR="00CD0287">
              <w:t xml:space="preserve">in writing detailing the reason for the appeal. A response will be provided in writing in 14 days and will be conducted by either the Neighbourhood Manager or the Head of Neighbourhoods. </w:t>
            </w:r>
            <w:r>
              <w:t>Non-Trust tenants would need to approach their own landlord for any right of appeal if a mutual exchange request is refused.</w:t>
            </w:r>
          </w:p>
          <w:p w14:paraId="2A62C78A" w14:textId="23308310" w:rsidR="00461011" w:rsidRDefault="00461011" w:rsidP="006102EF">
            <w:pPr>
              <w:pStyle w:val="ListBullet1"/>
              <w:numPr>
                <w:ilvl w:val="0"/>
                <w:numId w:val="0"/>
              </w:numPr>
              <w:rPr>
                <w:rFonts w:ascii="Calibri" w:hAnsi="Calibri"/>
                <w:b/>
                <w:bCs/>
                <w:lang w:eastAsia="en-GB"/>
              </w:rPr>
            </w:pPr>
          </w:p>
        </w:tc>
      </w:tr>
      <w:tr w:rsidR="00A92F05" w:rsidRPr="007D0DCD" w14:paraId="7EBCAD35" w14:textId="77777777" w:rsidTr="66E037C6">
        <w:tc>
          <w:tcPr>
            <w:tcW w:w="817" w:type="dxa"/>
            <w:tcBorders>
              <w:top w:val="nil"/>
              <w:left w:val="nil"/>
              <w:bottom w:val="nil"/>
              <w:right w:val="nil"/>
            </w:tcBorders>
          </w:tcPr>
          <w:p w14:paraId="5CDF62FD" w14:textId="77777777" w:rsidR="00A92F05" w:rsidRPr="003C1B99" w:rsidRDefault="00A92F05" w:rsidP="006102E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55FDEFBF" w14:textId="77777777" w:rsidR="00A92F05" w:rsidRDefault="1E89CAC8" w:rsidP="006102EF">
            <w:pPr>
              <w:pStyle w:val="ListBullet1"/>
              <w:numPr>
                <w:ilvl w:val="0"/>
                <w:numId w:val="0"/>
              </w:numPr>
            </w:pPr>
            <w:r w:rsidRPr="66E037C6">
              <w:rPr>
                <w:rFonts w:ascii="Calibri" w:hAnsi="Calibri"/>
                <w:b/>
                <w:bCs/>
                <w:lang w:eastAsia="en-GB"/>
              </w:rPr>
              <w:t xml:space="preserve">Unauthorised Mutual Exchanges - </w:t>
            </w:r>
            <w:r>
              <w:t>If a mutual exchange takes place without our written consent or after the mutual exchange was refused, the exchange of tenancies will be unlawful and both exchange partners will lose security of tenure. We will not allow the mutual exchange to take place in these circumstances, and we will take legal action to evict.</w:t>
            </w:r>
          </w:p>
          <w:p w14:paraId="00E57B6D" w14:textId="2BED0D15" w:rsidR="00D53081" w:rsidRDefault="00D53081" w:rsidP="006102EF">
            <w:pPr>
              <w:pStyle w:val="ListBullet1"/>
              <w:numPr>
                <w:ilvl w:val="0"/>
                <w:numId w:val="0"/>
              </w:numPr>
              <w:rPr>
                <w:rFonts w:ascii="Calibri" w:hAnsi="Calibri"/>
                <w:b/>
                <w:bCs/>
                <w:lang w:eastAsia="en-GB"/>
              </w:rPr>
            </w:pPr>
          </w:p>
        </w:tc>
      </w:tr>
      <w:tr w:rsidR="006102EF" w:rsidRPr="007D0DCD" w14:paraId="06C57AD2" w14:textId="77777777" w:rsidTr="66E037C6">
        <w:tc>
          <w:tcPr>
            <w:tcW w:w="817" w:type="dxa"/>
            <w:tcBorders>
              <w:top w:val="nil"/>
              <w:left w:val="nil"/>
              <w:bottom w:val="nil"/>
              <w:right w:val="nil"/>
            </w:tcBorders>
          </w:tcPr>
          <w:p w14:paraId="77096AD0" w14:textId="77777777" w:rsidR="006102EF" w:rsidRPr="003C1B99" w:rsidRDefault="006102EF" w:rsidP="006102EF">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53A3F3" w14:textId="4C4AC0A2" w:rsidR="006102EF" w:rsidRPr="004E5DDF" w:rsidRDefault="006102EF" w:rsidP="006102EF">
            <w:pPr>
              <w:pStyle w:val="ListBullet1"/>
              <w:numPr>
                <w:ilvl w:val="0"/>
                <w:numId w:val="0"/>
              </w:numPr>
              <w:rPr>
                <w:rFonts w:ascii="Calibri" w:hAnsi="Calibri"/>
                <w:b/>
                <w:bCs/>
                <w:lang w:eastAsia="en-GB"/>
              </w:rPr>
            </w:pPr>
            <w:r w:rsidRPr="004E5DDF">
              <w:rPr>
                <w:rFonts w:ascii="Calibri" w:hAnsi="Calibri"/>
                <w:b/>
                <w:bCs/>
                <w:lang w:eastAsia="en-GB"/>
              </w:rPr>
              <w:t>Succession</w:t>
            </w:r>
          </w:p>
        </w:tc>
      </w:tr>
      <w:tr w:rsidR="006102EF" w:rsidRPr="007D0DCD" w14:paraId="14C0D261" w14:textId="77777777" w:rsidTr="66E037C6">
        <w:tc>
          <w:tcPr>
            <w:tcW w:w="817" w:type="dxa"/>
            <w:tcBorders>
              <w:top w:val="nil"/>
              <w:left w:val="nil"/>
              <w:bottom w:val="nil"/>
              <w:right w:val="nil"/>
            </w:tcBorders>
          </w:tcPr>
          <w:p w14:paraId="61058016" w14:textId="77777777" w:rsidR="006102EF" w:rsidRPr="003C1B99" w:rsidRDefault="006102EF" w:rsidP="006102EF">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2B0FB5DE" w14:textId="77777777" w:rsidR="006102EF" w:rsidRPr="00CC18FE" w:rsidRDefault="006102EF" w:rsidP="006102EF">
            <w:pPr>
              <w:pStyle w:val="ListBullet1"/>
              <w:numPr>
                <w:ilvl w:val="0"/>
                <w:numId w:val="0"/>
              </w:numPr>
              <w:rPr>
                <w:rFonts w:ascii="Calibri" w:hAnsi="Calibri"/>
                <w:lang w:eastAsia="en-GB"/>
              </w:rPr>
            </w:pPr>
          </w:p>
        </w:tc>
      </w:tr>
      <w:tr w:rsidR="00AC58C1" w:rsidRPr="007D0DCD" w14:paraId="643CD2F9" w14:textId="77777777" w:rsidTr="66E037C6">
        <w:tc>
          <w:tcPr>
            <w:tcW w:w="817" w:type="dxa"/>
            <w:tcBorders>
              <w:top w:val="nil"/>
              <w:left w:val="nil"/>
              <w:bottom w:val="nil"/>
              <w:right w:val="nil"/>
            </w:tcBorders>
          </w:tcPr>
          <w:p w14:paraId="6A0CC153" w14:textId="77777777" w:rsidR="00AC58C1" w:rsidRPr="003C1B99" w:rsidRDefault="00AC58C1" w:rsidP="006102E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F1BE311" w14:textId="7060C461" w:rsidR="00AC58C1" w:rsidRDefault="00AC58C1" w:rsidP="006102EF">
            <w:pPr>
              <w:pStyle w:val="ListBullet1"/>
              <w:numPr>
                <w:ilvl w:val="0"/>
                <w:numId w:val="0"/>
              </w:numPr>
            </w:pPr>
            <w:r>
              <w:t>We recognise that claims for succession are made at a time of bereavement and we will deal with cases sensitively. We will make reasonable enquiries and assess applications made, however the person claiming the right to succeed must provide the necessary evidence to establish their right. We will only consider applications when we are in receipt of the tenants death certificate.</w:t>
            </w:r>
          </w:p>
          <w:p w14:paraId="066177C7" w14:textId="594FF6F3" w:rsidR="00AC58C1" w:rsidRDefault="00AC58C1" w:rsidP="006102EF">
            <w:pPr>
              <w:pStyle w:val="ListBullet1"/>
              <w:numPr>
                <w:ilvl w:val="0"/>
                <w:numId w:val="0"/>
              </w:numPr>
            </w:pPr>
          </w:p>
        </w:tc>
      </w:tr>
      <w:tr w:rsidR="006102EF" w:rsidRPr="007D0DCD" w14:paraId="3B676D8F" w14:textId="77777777" w:rsidTr="66E037C6">
        <w:tc>
          <w:tcPr>
            <w:tcW w:w="817" w:type="dxa"/>
            <w:tcBorders>
              <w:top w:val="nil"/>
              <w:left w:val="nil"/>
              <w:bottom w:val="nil"/>
              <w:right w:val="nil"/>
            </w:tcBorders>
          </w:tcPr>
          <w:p w14:paraId="445386B7" w14:textId="77777777" w:rsidR="006102EF" w:rsidRPr="003C1B99" w:rsidRDefault="006102EF" w:rsidP="006102E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6331E4C" w14:textId="77777777" w:rsidR="006102EF" w:rsidRDefault="006102EF" w:rsidP="006102EF">
            <w:pPr>
              <w:pStyle w:val="ListBullet1"/>
              <w:numPr>
                <w:ilvl w:val="0"/>
                <w:numId w:val="0"/>
              </w:numPr>
            </w:pPr>
            <w:r>
              <w:t>There is one statutory right of succession for a secure or assured tenancy. In addition to the statutory succession rights set out in legislation, some of our tenancy agreements include additional contractual succession rights. We may also consider granting a new ‘discretionary tenancy’ where there is neither a statutory nor contractual right to succession.</w:t>
            </w:r>
          </w:p>
          <w:p w14:paraId="5363EC27" w14:textId="5568CB1C" w:rsidR="00461011" w:rsidRPr="00CC18FE" w:rsidRDefault="00461011" w:rsidP="006102EF">
            <w:pPr>
              <w:pStyle w:val="ListBullet1"/>
              <w:numPr>
                <w:ilvl w:val="0"/>
                <w:numId w:val="0"/>
              </w:numPr>
              <w:rPr>
                <w:rFonts w:ascii="Calibri" w:hAnsi="Calibri"/>
                <w:lang w:eastAsia="en-GB"/>
              </w:rPr>
            </w:pPr>
          </w:p>
        </w:tc>
      </w:tr>
      <w:tr w:rsidR="006102EF" w:rsidRPr="007D0DCD" w14:paraId="6D0830AA" w14:textId="77777777" w:rsidTr="66E037C6">
        <w:tc>
          <w:tcPr>
            <w:tcW w:w="817" w:type="dxa"/>
            <w:tcBorders>
              <w:top w:val="nil"/>
              <w:left w:val="nil"/>
              <w:bottom w:val="nil"/>
              <w:right w:val="nil"/>
            </w:tcBorders>
          </w:tcPr>
          <w:p w14:paraId="2BE967B0" w14:textId="77777777" w:rsidR="006102EF" w:rsidRPr="003C1B99" w:rsidRDefault="006102EF" w:rsidP="006102E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D9292C9" w14:textId="77777777" w:rsidR="006102EF" w:rsidRDefault="006102EF" w:rsidP="006102EF">
            <w:pPr>
              <w:pStyle w:val="ListBullet1"/>
              <w:numPr>
                <w:ilvl w:val="0"/>
                <w:numId w:val="0"/>
              </w:numPr>
            </w:pPr>
            <w:r>
              <w:t>The Localism Act 2011 changed the law on succession. This means the statutory (legal) right of succession is different, depending on whether a tenancy started before or after 1 April 2012.</w:t>
            </w:r>
          </w:p>
          <w:p w14:paraId="343B9677" w14:textId="08A09196" w:rsidR="00461011" w:rsidRDefault="00461011" w:rsidP="006102EF">
            <w:pPr>
              <w:pStyle w:val="ListBullet1"/>
              <w:numPr>
                <w:ilvl w:val="0"/>
                <w:numId w:val="0"/>
              </w:numPr>
            </w:pPr>
          </w:p>
        </w:tc>
      </w:tr>
      <w:tr w:rsidR="006102EF" w:rsidRPr="007D0DCD" w14:paraId="018FB1CD" w14:textId="77777777" w:rsidTr="66E037C6">
        <w:tc>
          <w:tcPr>
            <w:tcW w:w="817" w:type="dxa"/>
            <w:tcBorders>
              <w:top w:val="nil"/>
              <w:left w:val="nil"/>
              <w:bottom w:val="nil"/>
              <w:right w:val="nil"/>
            </w:tcBorders>
          </w:tcPr>
          <w:p w14:paraId="6520CE25" w14:textId="77777777" w:rsidR="006102EF" w:rsidRPr="003C1B99" w:rsidRDefault="006102EF" w:rsidP="006102E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AB712C9" w14:textId="77777777" w:rsidR="006102EF" w:rsidRDefault="006102EF" w:rsidP="006102EF">
            <w:pPr>
              <w:pStyle w:val="ListBullet1"/>
              <w:numPr>
                <w:ilvl w:val="0"/>
                <w:numId w:val="0"/>
              </w:numPr>
            </w:pPr>
            <w:r>
              <w:t>In the case of a joint tenancy, when one tenant dies the tenancy automatically passes to the surviving joint tenant(s). The legal term for this is survivorship. The remaining tenant becomes a sole tenant.</w:t>
            </w:r>
          </w:p>
          <w:p w14:paraId="36915C53" w14:textId="5C08C68A" w:rsidR="00461011" w:rsidRDefault="00461011" w:rsidP="006102EF">
            <w:pPr>
              <w:pStyle w:val="ListBullet1"/>
              <w:numPr>
                <w:ilvl w:val="0"/>
                <w:numId w:val="0"/>
              </w:numPr>
            </w:pPr>
          </w:p>
        </w:tc>
      </w:tr>
      <w:tr w:rsidR="006102EF" w:rsidRPr="007D0DCD" w14:paraId="603124A3" w14:textId="77777777" w:rsidTr="66E037C6">
        <w:tc>
          <w:tcPr>
            <w:tcW w:w="817" w:type="dxa"/>
            <w:tcBorders>
              <w:top w:val="nil"/>
              <w:left w:val="nil"/>
              <w:bottom w:val="nil"/>
              <w:right w:val="nil"/>
            </w:tcBorders>
          </w:tcPr>
          <w:p w14:paraId="32F7B4AC" w14:textId="77777777" w:rsidR="006102EF" w:rsidRPr="003C1B99" w:rsidRDefault="006102EF" w:rsidP="006102EF">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6CE8E7A" w14:textId="77777777" w:rsidR="006102EF" w:rsidRDefault="006102EF" w:rsidP="006102EF">
            <w:pPr>
              <w:pStyle w:val="ListBullet1"/>
              <w:numPr>
                <w:ilvl w:val="0"/>
                <w:numId w:val="0"/>
              </w:numPr>
            </w:pPr>
            <w:r>
              <w:t>If the remaining tenant does not live in the property, as their only or principal home, we may take action to end the tenancy.</w:t>
            </w:r>
          </w:p>
          <w:p w14:paraId="63DAE933" w14:textId="4949E0EA" w:rsidR="00AC58C1" w:rsidRDefault="00AC58C1" w:rsidP="006102EF">
            <w:pPr>
              <w:pStyle w:val="ListBullet1"/>
              <w:numPr>
                <w:ilvl w:val="0"/>
                <w:numId w:val="0"/>
              </w:numPr>
            </w:pPr>
          </w:p>
        </w:tc>
      </w:tr>
      <w:tr w:rsidR="005B6106" w:rsidRPr="007D0DCD" w14:paraId="32321236" w14:textId="77777777" w:rsidTr="66E037C6">
        <w:tc>
          <w:tcPr>
            <w:tcW w:w="817" w:type="dxa"/>
            <w:tcBorders>
              <w:top w:val="nil"/>
              <w:left w:val="nil"/>
              <w:bottom w:val="nil"/>
              <w:right w:val="nil"/>
            </w:tcBorders>
          </w:tcPr>
          <w:p w14:paraId="5B3F3AEA"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17F06282" w14:textId="77777777" w:rsidR="005B6106" w:rsidRDefault="005B6106" w:rsidP="005B6106">
            <w:pPr>
              <w:pStyle w:val="ListBullet1"/>
              <w:numPr>
                <w:ilvl w:val="0"/>
                <w:numId w:val="0"/>
              </w:numPr>
            </w:pPr>
            <w:r>
              <w:t>Statutory succession is a right outlined in legislation. It gives certain people (statutory successors) the legal right to inherit a tenancy on the death of a tenant. In this event, the tenancy does not end following the death of a tenant and continues in the name of the successor.</w:t>
            </w:r>
          </w:p>
          <w:p w14:paraId="23C4064A" w14:textId="1F7219E5" w:rsidR="005B6106" w:rsidRDefault="005B6106" w:rsidP="005B6106">
            <w:pPr>
              <w:pStyle w:val="ListBullet1"/>
              <w:numPr>
                <w:ilvl w:val="0"/>
                <w:numId w:val="0"/>
              </w:numPr>
            </w:pPr>
          </w:p>
        </w:tc>
      </w:tr>
      <w:tr w:rsidR="00AC58C1" w:rsidRPr="007D0DCD" w14:paraId="0FF6A58D" w14:textId="77777777" w:rsidTr="66E037C6">
        <w:tc>
          <w:tcPr>
            <w:tcW w:w="817" w:type="dxa"/>
            <w:tcBorders>
              <w:top w:val="nil"/>
              <w:left w:val="nil"/>
              <w:bottom w:val="nil"/>
              <w:right w:val="nil"/>
            </w:tcBorders>
          </w:tcPr>
          <w:p w14:paraId="1EA96EB2" w14:textId="77777777" w:rsidR="00AC58C1" w:rsidRPr="003C1B99" w:rsidRDefault="00AC58C1"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0CD992BB" w14:textId="77777777" w:rsidR="00AC58C1" w:rsidRDefault="00AC58C1" w:rsidP="005B6106">
            <w:pPr>
              <w:pStyle w:val="ListBullet1"/>
              <w:numPr>
                <w:ilvl w:val="0"/>
                <w:numId w:val="0"/>
              </w:numPr>
            </w:pPr>
            <w:r>
              <w:t>Contractual succession is where the tenancy agreement provides qualifying family members succession rights.</w:t>
            </w:r>
          </w:p>
          <w:p w14:paraId="6508717D" w14:textId="0BF4B504" w:rsidR="00AC58C1" w:rsidRDefault="00AC58C1" w:rsidP="005B6106">
            <w:pPr>
              <w:pStyle w:val="ListBullet1"/>
              <w:numPr>
                <w:ilvl w:val="0"/>
                <w:numId w:val="0"/>
              </w:numPr>
            </w:pPr>
          </w:p>
        </w:tc>
      </w:tr>
      <w:tr w:rsidR="005B6106" w:rsidRPr="007D0DCD" w14:paraId="7E63C590" w14:textId="77777777" w:rsidTr="66E037C6">
        <w:tc>
          <w:tcPr>
            <w:tcW w:w="817" w:type="dxa"/>
            <w:tcBorders>
              <w:top w:val="nil"/>
              <w:left w:val="nil"/>
              <w:bottom w:val="nil"/>
              <w:right w:val="nil"/>
            </w:tcBorders>
          </w:tcPr>
          <w:p w14:paraId="257D1FD2"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5820006F" w14:textId="77777777" w:rsidR="005B6106" w:rsidRDefault="005B6106" w:rsidP="005B6106">
            <w:pPr>
              <w:pStyle w:val="ListBullet1"/>
              <w:numPr>
                <w:ilvl w:val="0"/>
                <w:numId w:val="0"/>
              </w:numPr>
            </w:pPr>
            <w:r>
              <w:t>A discretionary succession is where there are no rights to succeed, but we decide to offer a new tenancy in exceptional circumstances. As this is not legally a succession, in these cases we’ll offer a new tenancy rather than transferring the existing tenancy. The new tenancy offered may be at a different property if we consider another property more suitable.</w:t>
            </w:r>
          </w:p>
          <w:p w14:paraId="4C3A949A" w14:textId="1932F7FA" w:rsidR="005B6106" w:rsidRDefault="005B6106" w:rsidP="005B6106">
            <w:pPr>
              <w:pStyle w:val="ListBullet1"/>
              <w:numPr>
                <w:ilvl w:val="0"/>
                <w:numId w:val="0"/>
              </w:numPr>
            </w:pPr>
          </w:p>
        </w:tc>
      </w:tr>
      <w:tr w:rsidR="005B6106" w:rsidRPr="007D0DCD" w14:paraId="789A7629" w14:textId="77777777" w:rsidTr="66E037C6">
        <w:tc>
          <w:tcPr>
            <w:tcW w:w="817" w:type="dxa"/>
            <w:tcBorders>
              <w:top w:val="nil"/>
              <w:left w:val="nil"/>
              <w:bottom w:val="nil"/>
              <w:right w:val="nil"/>
            </w:tcBorders>
          </w:tcPr>
          <w:p w14:paraId="409EC335"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880E635" w14:textId="7AB1DCB2" w:rsidR="005B6106" w:rsidRDefault="005B6106" w:rsidP="005B6106">
            <w:pPr>
              <w:pStyle w:val="ListBullet1"/>
              <w:numPr>
                <w:ilvl w:val="0"/>
                <w:numId w:val="0"/>
              </w:numPr>
            </w:pPr>
            <w:r>
              <w:t xml:space="preserve">We may consider the award of a discretionary tenancy under certain circumstances. For example: </w:t>
            </w:r>
          </w:p>
          <w:p w14:paraId="440C5DF7" w14:textId="0D8437F6" w:rsidR="005B6106" w:rsidRPr="003604D4" w:rsidRDefault="005B6106" w:rsidP="003604D4">
            <w:pPr>
              <w:pStyle w:val="ListBullet1"/>
              <w:ind w:left="321"/>
            </w:pPr>
            <w:r w:rsidRPr="003604D4">
              <w:t xml:space="preserve">Where the tenant has died, and there is no right to succession, or; </w:t>
            </w:r>
          </w:p>
          <w:p w14:paraId="297D96FC" w14:textId="19BC51DC" w:rsidR="005B6106" w:rsidRPr="003604D4" w:rsidRDefault="005B6106" w:rsidP="003604D4">
            <w:pPr>
              <w:pStyle w:val="ListBullet1"/>
              <w:ind w:left="321"/>
            </w:pPr>
            <w:r w:rsidRPr="003604D4">
              <w:t xml:space="preserve">Where the tenant has gone into residential care on a permanent basis, and there is no option or right to assign, or; </w:t>
            </w:r>
          </w:p>
          <w:p w14:paraId="7E11DF5C" w14:textId="6F25228F" w:rsidR="005B6106" w:rsidRPr="003604D4" w:rsidRDefault="005B6106" w:rsidP="003604D4">
            <w:pPr>
              <w:pStyle w:val="ListBullet1"/>
              <w:ind w:left="321"/>
            </w:pPr>
            <w:r w:rsidRPr="003604D4">
              <w:t xml:space="preserve">In rare cases, where we may consider other special circumstances, for example but not necessarily limited to: </w:t>
            </w:r>
          </w:p>
          <w:p w14:paraId="27498ACA" w14:textId="77777777" w:rsidR="005B6106" w:rsidRDefault="005B6106" w:rsidP="005B6106">
            <w:pPr>
              <w:pStyle w:val="ListBullet1"/>
              <w:numPr>
                <w:ilvl w:val="0"/>
                <w:numId w:val="27"/>
              </w:numPr>
            </w:pPr>
            <w:r>
              <w:t>Where domestic abuse is a factor in a case where a perpetrating tenant has ended the tenancy and/or vacated the property with no intention to return, and there are no assignment rights for the victim and any remaining household members.</w:t>
            </w:r>
          </w:p>
          <w:p w14:paraId="71D86BCA" w14:textId="37039EFC" w:rsidR="00541569" w:rsidRDefault="005D17FF" w:rsidP="005B6106">
            <w:pPr>
              <w:pStyle w:val="ListBullet1"/>
              <w:numPr>
                <w:ilvl w:val="0"/>
                <w:numId w:val="27"/>
              </w:numPr>
            </w:pPr>
            <w:r>
              <w:t>Where a property has adaptations for a member of the remaining household.</w:t>
            </w:r>
          </w:p>
          <w:p w14:paraId="6C4073C5" w14:textId="77777777" w:rsidR="005B6106" w:rsidRDefault="005B6106" w:rsidP="005B6106">
            <w:pPr>
              <w:pStyle w:val="ListBullet1"/>
              <w:numPr>
                <w:ilvl w:val="0"/>
                <w:numId w:val="27"/>
              </w:numPr>
            </w:pPr>
            <w:r>
              <w:t>Where a case poses a risk (i.e., legal, regulatory or reputational) to the organisation, or other relevant sensitivities, vulnerabilities and grounds that should be reasonably considered.</w:t>
            </w:r>
          </w:p>
          <w:p w14:paraId="03F3C4F7" w14:textId="77777777" w:rsidR="00CD0287" w:rsidRDefault="00CD0287" w:rsidP="00CD0287">
            <w:pPr>
              <w:pStyle w:val="ListBullet1"/>
              <w:numPr>
                <w:ilvl w:val="0"/>
                <w:numId w:val="0"/>
              </w:numPr>
              <w:ind w:left="720"/>
            </w:pPr>
          </w:p>
          <w:p w14:paraId="6F7CB471" w14:textId="600CF63E" w:rsidR="005B6106" w:rsidRDefault="005B6106" w:rsidP="005B6106">
            <w:pPr>
              <w:pStyle w:val="ListBullet1"/>
              <w:numPr>
                <w:ilvl w:val="0"/>
                <w:numId w:val="0"/>
              </w:numPr>
            </w:pPr>
            <w:r>
              <w:t>Internally, this will be recorded as an exceptional let and follow the</w:t>
            </w:r>
            <w:r w:rsidR="00CD0287">
              <w:t xml:space="preserve"> appropriate</w:t>
            </w:r>
            <w:r>
              <w:t xml:space="preserve"> sign off process.</w:t>
            </w:r>
          </w:p>
          <w:p w14:paraId="25B3AA56" w14:textId="704AC9E9" w:rsidR="005B6106" w:rsidRDefault="005B6106" w:rsidP="005B6106">
            <w:pPr>
              <w:pStyle w:val="ListBullet1"/>
              <w:numPr>
                <w:ilvl w:val="0"/>
                <w:numId w:val="0"/>
              </w:numPr>
            </w:pPr>
          </w:p>
        </w:tc>
      </w:tr>
      <w:tr w:rsidR="005B6106" w:rsidRPr="007D0DCD" w14:paraId="04662C7F" w14:textId="77777777" w:rsidTr="66E037C6">
        <w:tc>
          <w:tcPr>
            <w:tcW w:w="817" w:type="dxa"/>
            <w:tcBorders>
              <w:top w:val="nil"/>
              <w:left w:val="nil"/>
              <w:bottom w:val="nil"/>
              <w:right w:val="nil"/>
            </w:tcBorders>
          </w:tcPr>
          <w:p w14:paraId="40934B7C"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43B9740" w14:textId="77777777" w:rsidR="005B6106" w:rsidRDefault="005B6106" w:rsidP="005B6106">
            <w:pPr>
              <w:pStyle w:val="ListBullet1"/>
              <w:numPr>
                <w:ilvl w:val="0"/>
                <w:numId w:val="0"/>
              </w:numPr>
            </w:pPr>
            <w:r>
              <w:t xml:space="preserve">When deciding to exercise this discretion, we’ll consider the following things: </w:t>
            </w:r>
          </w:p>
          <w:p w14:paraId="1D2637B6" w14:textId="74FD72C2" w:rsidR="005B6106" w:rsidRPr="003604D4" w:rsidRDefault="005B6106" w:rsidP="003604D4">
            <w:pPr>
              <w:pStyle w:val="ListBullet1"/>
              <w:ind w:left="321"/>
            </w:pPr>
            <w:r w:rsidRPr="003604D4">
              <w:t xml:space="preserve">The type of tenancy </w:t>
            </w:r>
          </w:p>
          <w:p w14:paraId="5E340334" w14:textId="3C164A0C" w:rsidR="005B6106" w:rsidRPr="003604D4" w:rsidRDefault="005B6106" w:rsidP="003604D4">
            <w:pPr>
              <w:pStyle w:val="ListBullet1"/>
              <w:ind w:left="321"/>
            </w:pPr>
            <w:r w:rsidRPr="003604D4">
              <w:t xml:space="preserve">How long the occupant has lived in the property. They must have been living with the deceased tenant for at least the 12 months prior to their death. </w:t>
            </w:r>
          </w:p>
          <w:p w14:paraId="0C6BC3AD" w14:textId="743B3D8D" w:rsidR="005B6106" w:rsidRPr="003604D4" w:rsidRDefault="005B6106" w:rsidP="003604D4">
            <w:pPr>
              <w:pStyle w:val="ListBullet1"/>
              <w:ind w:left="321"/>
            </w:pPr>
            <w:r w:rsidRPr="003604D4">
              <w:t xml:space="preserve">The relationship to the deceased tenant </w:t>
            </w:r>
          </w:p>
          <w:p w14:paraId="1D3E78E6" w14:textId="05CD4DC4" w:rsidR="005B6106" w:rsidRPr="003604D4" w:rsidRDefault="005B6106" w:rsidP="003604D4">
            <w:pPr>
              <w:pStyle w:val="ListBullet1"/>
              <w:ind w:left="321"/>
            </w:pPr>
            <w:r w:rsidRPr="003604D4">
              <w:lastRenderedPageBreak/>
              <w:t xml:space="preserve">Housing need </w:t>
            </w:r>
          </w:p>
          <w:p w14:paraId="00B0DA1D" w14:textId="487CA288" w:rsidR="005B6106" w:rsidRPr="003604D4" w:rsidRDefault="005B6106" w:rsidP="003604D4">
            <w:pPr>
              <w:pStyle w:val="ListBullet1"/>
              <w:ind w:left="321"/>
            </w:pPr>
            <w:r w:rsidRPr="003604D4">
              <w:t>Financial situation</w:t>
            </w:r>
          </w:p>
          <w:p w14:paraId="0967D4B7" w14:textId="32F225F2" w:rsidR="005B6106" w:rsidRPr="003604D4" w:rsidRDefault="005B6106" w:rsidP="003604D4">
            <w:pPr>
              <w:pStyle w:val="ListBullet1"/>
              <w:ind w:left="321"/>
            </w:pPr>
            <w:r w:rsidRPr="003604D4">
              <w:t>Any vulnerabilities.</w:t>
            </w:r>
          </w:p>
          <w:p w14:paraId="6DC39CE0" w14:textId="1BAC33C0" w:rsidR="005B6106" w:rsidRDefault="005B6106" w:rsidP="005B6106">
            <w:pPr>
              <w:pStyle w:val="ListBullet1"/>
              <w:numPr>
                <w:ilvl w:val="0"/>
                <w:numId w:val="0"/>
              </w:numPr>
            </w:pPr>
          </w:p>
        </w:tc>
      </w:tr>
      <w:tr w:rsidR="005B6106" w:rsidRPr="007D0DCD" w14:paraId="043F8FA5" w14:textId="77777777" w:rsidTr="66E037C6">
        <w:tc>
          <w:tcPr>
            <w:tcW w:w="817" w:type="dxa"/>
            <w:tcBorders>
              <w:top w:val="nil"/>
              <w:left w:val="nil"/>
              <w:bottom w:val="nil"/>
              <w:right w:val="nil"/>
            </w:tcBorders>
          </w:tcPr>
          <w:p w14:paraId="78052DB3"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47498C4A" w14:textId="77777777" w:rsidR="005B6106" w:rsidRDefault="005B6106" w:rsidP="005B6106">
            <w:pPr>
              <w:pStyle w:val="ListBullet1"/>
              <w:numPr>
                <w:ilvl w:val="0"/>
                <w:numId w:val="0"/>
              </w:numPr>
            </w:pPr>
            <w:r>
              <w:t>We will make one offer of a new tenancy. We will make this offer within 12 months of our decision to offer a discretionary tenancy. If the offer is refused, we will seek possession of the property.</w:t>
            </w:r>
          </w:p>
          <w:p w14:paraId="79B7337F" w14:textId="26CAA5DB" w:rsidR="005B6106" w:rsidRDefault="005B6106" w:rsidP="005B6106">
            <w:pPr>
              <w:pStyle w:val="ListBullet1"/>
              <w:numPr>
                <w:ilvl w:val="0"/>
                <w:numId w:val="0"/>
              </w:numPr>
            </w:pPr>
          </w:p>
        </w:tc>
      </w:tr>
      <w:tr w:rsidR="00AC58C1" w:rsidRPr="007D0DCD" w14:paraId="7B536018" w14:textId="77777777" w:rsidTr="66E037C6">
        <w:tc>
          <w:tcPr>
            <w:tcW w:w="817" w:type="dxa"/>
            <w:tcBorders>
              <w:top w:val="nil"/>
              <w:left w:val="nil"/>
              <w:bottom w:val="nil"/>
              <w:right w:val="nil"/>
            </w:tcBorders>
          </w:tcPr>
          <w:p w14:paraId="24D7668A" w14:textId="77777777" w:rsidR="00AC58C1" w:rsidRPr="003C1B99" w:rsidRDefault="00AC58C1"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747F3470" w14:textId="77777777" w:rsidR="00AC58C1" w:rsidRDefault="00AC58C1" w:rsidP="005B6106">
            <w:pPr>
              <w:pStyle w:val="ListBullet1"/>
              <w:numPr>
                <w:ilvl w:val="0"/>
                <w:numId w:val="0"/>
              </w:numPr>
            </w:pPr>
            <w:r>
              <w:t>Where occupiers have no right to remain in the property, we will provide advice on finding alternative accommodation and where necessary, take legal action to take possession of the property.</w:t>
            </w:r>
          </w:p>
          <w:p w14:paraId="7685852F" w14:textId="666FDE99" w:rsidR="00AC58C1" w:rsidRDefault="00AC58C1" w:rsidP="005B6106">
            <w:pPr>
              <w:pStyle w:val="ListBullet1"/>
              <w:numPr>
                <w:ilvl w:val="0"/>
                <w:numId w:val="0"/>
              </w:numPr>
            </w:pPr>
          </w:p>
        </w:tc>
      </w:tr>
      <w:tr w:rsidR="005B6106" w:rsidRPr="007D0DCD" w14:paraId="04E7CE55" w14:textId="77777777" w:rsidTr="66E037C6">
        <w:tc>
          <w:tcPr>
            <w:tcW w:w="817" w:type="dxa"/>
            <w:tcBorders>
              <w:top w:val="nil"/>
              <w:left w:val="nil"/>
              <w:bottom w:val="nil"/>
              <w:right w:val="nil"/>
            </w:tcBorders>
          </w:tcPr>
          <w:p w14:paraId="7356D5CC"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380EB878" w14:textId="7654F00A" w:rsidR="005B6106" w:rsidRDefault="005B6106" w:rsidP="005B6106">
            <w:pPr>
              <w:pStyle w:val="ListBullet1"/>
              <w:numPr>
                <w:ilvl w:val="0"/>
                <w:numId w:val="0"/>
              </w:numPr>
            </w:pPr>
            <w:r>
              <w:t>We may refuse a claim for succession where the property would be under occupied. We define under occupation as having at least one more bedroom than you need, as defined in the bedroom standards in our Allocations Policy.</w:t>
            </w:r>
          </w:p>
          <w:p w14:paraId="6554E526" w14:textId="7CAD57B9" w:rsidR="005B6106" w:rsidRDefault="005B6106" w:rsidP="005B6106">
            <w:pPr>
              <w:pStyle w:val="ListBullet1"/>
              <w:numPr>
                <w:ilvl w:val="0"/>
                <w:numId w:val="0"/>
              </w:numPr>
            </w:pPr>
          </w:p>
        </w:tc>
      </w:tr>
      <w:tr w:rsidR="005B6106" w:rsidRPr="007D0DCD" w14:paraId="3B7263DF" w14:textId="77777777" w:rsidTr="66E037C6">
        <w:tc>
          <w:tcPr>
            <w:tcW w:w="817" w:type="dxa"/>
            <w:tcBorders>
              <w:top w:val="nil"/>
              <w:left w:val="nil"/>
              <w:bottom w:val="nil"/>
              <w:right w:val="nil"/>
            </w:tcBorders>
          </w:tcPr>
          <w:p w14:paraId="3F065C89"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604708C1" w14:textId="2FF98832" w:rsidR="005B6106" w:rsidRDefault="005B6106" w:rsidP="005B6106">
            <w:pPr>
              <w:pStyle w:val="ListBullet1"/>
              <w:numPr>
                <w:ilvl w:val="0"/>
                <w:numId w:val="0"/>
              </w:numPr>
            </w:pPr>
            <w:r>
              <w:t xml:space="preserve">We may refuse a claim for succession if the property has been developed for a specific group and </w:t>
            </w:r>
            <w:r w:rsidR="00CD0287">
              <w:t>the applicant doesn’t</w:t>
            </w:r>
            <w:r>
              <w:t xml:space="preserve"> meet the requirements. For example, the property has a minimum age limit, and </w:t>
            </w:r>
            <w:r w:rsidR="00CD0287">
              <w:t>the applicant is</w:t>
            </w:r>
            <w:r>
              <w:t xml:space="preserve"> too young, or where the property has been adapted and these adaptations are not needed.</w:t>
            </w:r>
          </w:p>
          <w:p w14:paraId="7218C60A" w14:textId="74C5E88B" w:rsidR="005B6106" w:rsidRDefault="005B6106" w:rsidP="005B6106">
            <w:pPr>
              <w:pStyle w:val="ListBullet1"/>
              <w:numPr>
                <w:ilvl w:val="0"/>
                <w:numId w:val="0"/>
              </w:numPr>
            </w:pPr>
          </w:p>
        </w:tc>
      </w:tr>
      <w:tr w:rsidR="005B6106" w:rsidRPr="007D0DCD" w14:paraId="5264CFA1" w14:textId="77777777" w:rsidTr="66E037C6">
        <w:tc>
          <w:tcPr>
            <w:tcW w:w="817" w:type="dxa"/>
            <w:tcBorders>
              <w:top w:val="nil"/>
              <w:left w:val="nil"/>
              <w:bottom w:val="nil"/>
              <w:right w:val="nil"/>
            </w:tcBorders>
          </w:tcPr>
          <w:p w14:paraId="021A6B17" w14:textId="77777777" w:rsidR="005B6106" w:rsidRPr="003C1B99" w:rsidRDefault="005B6106"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21C0C87" w14:textId="76F00664" w:rsidR="005B6106" w:rsidRDefault="005B6106" w:rsidP="005B6106">
            <w:pPr>
              <w:pStyle w:val="ListBullet1"/>
              <w:numPr>
                <w:ilvl w:val="0"/>
                <w:numId w:val="0"/>
              </w:numPr>
            </w:pPr>
            <w:r>
              <w:t>If we refuse permission for a succession,</w:t>
            </w:r>
            <w:r w:rsidR="00AC58C1">
              <w:t xml:space="preserve"> an appeal can be made</w:t>
            </w:r>
            <w:r>
              <w:t xml:space="preserve"> within 14 working days. </w:t>
            </w:r>
            <w:r w:rsidR="00AC58C1">
              <w:t>The appeal</w:t>
            </w:r>
            <w:r>
              <w:t xml:space="preserve"> must tell us why you feel our decision is wrong. We’ll only uphold your appeal if we find the original decision did not follow the law, or this policy</w:t>
            </w:r>
            <w:r w:rsidR="00AC58C1">
              <w:t>.</w:t>
            </w:r>
            <w:r w:rsidR="00CD0287">
              <w:t xml:space="preserve"> The appeal will usually be reviewed by the Neighbourhood Manager or the Head of Neighbourhoods.</w:t>
            </w:r>
          </w:p>
          <w:p w14:paraId="4A8B05A8" w14:textId="77777777" w:rsidR="005B6106" w:rsidRDefault="005B6106" w:rsidP="005B6106">
            <w:pPr>
              <w:pStyle w:val="ListBullet1"/>
              <w:numPr>
                <w:ilvl w:val="0"/>
                <w:numId w:val="0"/>
              </w:numPr>
            </w:pPr>
          </w:p>
        </w:tc>
      </w:tr>
      <w:tr w:rsidR="00AC58C1" w:rsidRPr="007D0DCD" w14:paraId="19DA7683" w14:textId="77777777" w:rsidTr="66E037C6">
        <w:tc>
          <w:tcPr>
            <w:tcW w:w="817" w:type="dxa"/>
            <w:tcBorders>
              <w:top w:val="nil"/>
              <w:left w:val="nil"/>
              <w:bottom w:val="nil"/>
              <w:right w:val="nil"/>
            </w:tcBorders>
          </w:tcPr>
          <w:p w14:paraId="2C3C7880" w14:textId="77777777" w:rsidR="00AC58C1" w:rsidRPr="003C1B99" w:rsidRDefault="00AC58C1" w:rsidP="005B6106">
            <w:pPr>
              <w:pStyle w:val="ListParagraph"/>
              <w:numPr>
                <w:ilvl w:val="2"/>
                <w:numId w:val="5"/>
              </w:numPr>
              <w:rPr>
                <w:rFonts w:eastAsia="Times New Roman" w:cs="Arial"/>
                <w:b w:val="0"/>
                <w:color w:val="auto"/>
                <w:szCs w:val="20"/>
                <w:lang w:eastAsia="en-GB"/>
              </w:rPr>
            </w:pPr>
          </w:p>
        </w:tc>
        <w:tc>
          <w:tcPr>
            <w:tcW w:w="8816" w:type="dxa"/>
            <w:tcBorders>
              <w:top w:val="nil"/>
              <w:left w:val="nil"/>
              <w:bottom w:val="nil"/>
              <w:right w:val="nil"/>
            </w:tcBorders>
          </w:tcPr>
          <w:p w14:paraId="26E77E06" w14:textId="37ED88B1" w:rsidR="00AC58C1" w:rsidRDefault="00F801C0" w:rsidP="005B6106">
            <w:pPr>
              <w:pStyle w:val="ListBullet1"/>
              <w:numPr>
                <w:ilvl w:val="0"/>
                <w:numId w:val="0"/>
              </w:numPr>
            </w:pPr>
            <w:r>
              <w:t>To claim succession falsely or dishonestly, or to provide false or misleading information to support a claim, is fraud. Covering up the death of a tenant to benefit from their tenancy is also fraud. We will take appropriate enforcement action where we believe a fraudulent claim has been made in line with our Tenancy Fraud Policy and the relevant legislation. We may also engage with third parties such as the Police and local authorities.</w:t>
            </w:r>
          </w:p>
        </w:tc>
      </w:tr>
      <w:tr w:rsidR="005B6106" w:rsidRPr="007D0DCD" w14:paraId="140EB887" w14:textId="77777777" w:rsidTr="66E037C6">
        <w:tc>
          <w:tcPr>
            <w:tcW w:w="817" w:type="dxa"/>
            <w:tcBorders>
              <w:top w:val="nil"/>
              <w:left w:val="nil"/>
              <w:bottom w:val="nil"/>
              <w:right w:val="nil"/>
            </w:tcBorders>
          </w:tcPr>
          <w:p w14:paraId="75C18A13" w14:textId="77777777" w:rsidR="005B6106" w:rsidRPr="007D0DCD" w:rsidRDefault="005B6106" w:rsidP="005B6106">
            <w:pPr>
              <w:rPr>
                <w:rFonts w:ascii="Calibri" w:eastAsia="Times New Roman" w:hAnsi="Calibri" w:cs="Arial"/>
                <w:szCs w:val="20"/>
                <w:lang w:eastAsia="en-GB"/>
              </w:rPr>
            </w:pPr>
          </w:p>
        </w:tc>
        <w:tc>
          <w:tcPr>
            <w:tcW w:w="8816" w:type="dxa"/>
            <w:tcBorders>
              <w:top w:val="nil"/>
              <w:left w:val="nil"/>
              <w:bottom w:val="nil"/>
              <w:right w:val="nil"/>
            </w:tcBorders>
          </w:tcPr>
          <w:p w14:paraId="1CDAE1A2" w14:textId="77777777" w:rsidR="005B6106" w:rsidRPr="007D0DCD" w:rsidRDefault="005B6106" w:rsidP="005B6106">
            <w:pPr>
              <w:rPr>
                <w:rFonts w:ascii="Calibri" w:eastAsia="Times New Roman" w:hAnsi="Calibri" w:cs="Arial"/>
                <w:szCs w:val="20"/>
                <w:lang w:eastAsia="en-GB"/>
              </w:rPr>
            </w:pPr>
          </w:p>
        </w:tc>
      </w:tr>
      <w:tr w:rsidR="005B6106" w:rsidRPr="007D0DCD" w14:paraId="06757603" w14:textId="77777777" w:rsidTr="66E037C6">
        <w:trPr>
          <w:trHeight w:hRule="exact" w:val="284"/>
        </w:trPr>
        <w:tc>
          <w:tcPr>
            <w:tcW w:w="817" w:type="dxa"/>
            <w:tcBorders>
              <w:top w:val="nil"/>
              <w:left w:val="nil"/>
              <w:bottom w:val="nil"/>
              <w:right w:val="nil"/>
            </w:tcBorders>
          </w:tcPr>
          <w:p w14:paraId="2D084466" w14:textId="77777777" w:rsidR="005B6106" w:rsidRPr="00671F42" w:rsidRDefault="005B6106" w:rsidP="005B6106">
            <w:pPr>
              <w:pStyle w:val="ListParagraph"/>
              <w:numPr>
                <w:ilvl w:val="0"/>
                <w:numId w:val="5"/>
              </w:numPr>
            </w:pPr>
            <w:bookmarkStart w:id="14" w:name="_Toc476208631"/>
            <w:bookmarkEnd w:id="14"/>
          </w:p>
        </w:tc>
        <w:tc>
          <w:tcPr>
            <w:tcW w:w="8816" w:type="dxa"/>
            <w:tcBorders>
              <w:top w:val="nil"/>
              <w:left w:val="nil"/>
              <w:bottom w:val="nil"/>
              <w:right w:val="nil"/>
            </w:tcBorders>
          </w:tcPr>
          <w:p w14:paraId="2F2D1186" w14:textId="77777777" w:rsidR="005B6106" w:rsidRDefault="005B6106" w:rsidP="003604D4">
            <w:pPr>
              <w:pStyle w:val="Heading1"/>
              <w:tabs>
                <w:tab w:val="right" w:pos="8600"/>
              </w:tabs>
              <w:rPr>
                <w:lang w:val="en-US"/>
              </w:rPr>
            </w:pPr>
            <w:bookmarkStart w:id="15" w:name="_Toc116910373"/>
            <w:r>
              <w:rPr>
                <w:lang w:val="en-US"/>
              </w:rPr>
              <w:t>EQUALITY, DIVERSITY &amp; INCLUSION</w:t>
            </w:r>
            <w:bookmarkEnd w:id="15"/>
            <w:r w:rsidR="003604D4">
              <w:rPr>
                <w:lang w:val="en-US"/>
              </w:rPr>
              <w:tab/>
            </w:r>
          </w:p>
          <w:p w14:paraId="4F9E4979" w14:textId="0EA67761" w:rsidR="003604D4" w:rsidRPr="003604D4" w:rsidRDefault="003604D4" w:rsidP="003604D4">
            <w:pPr>
              <w:rPr>
                <w:lang w:val="en-US"/>
              </w:rPr>
            </w:pPr>
          </w:p>
        </w:tc>
      </w:tr>
      <w:tr w:rsidR="003604D4" w:rsidRPr="007D0DCD" w14:paraId="30531C1F" w14:textId="77777777" w:rsidTr="66E037C6">
        <w:trPr>
          <w:trHeight w:hRule="exact" w:val="284"/>
        </w:trPr>
        <w:tc>
          <w:tcPr>
            <w:tcW w:w="817" w:type="dxa"/>
            <w:tcBorders>
              <w:top w:val="nil"/>
              <w:left w:val="nil"/>
              <w:bottom w:val="nil"/>
              <w:right w:val="nil"/>
            </w:tcBorders>
          </w:tcPr>
          <w:p w14:paraId="09F04EF3" w14:textId="77777777" w:rsidR="003604D4" w:rsidRPr="00671F42" w:rsidRDefault="003604D4" w:rsidP="003604D4">
            <w:pPr>
              <w:pStyle w:val="ListParagraph"/>
              <w:ind w:left="0"/>
            </w:pPr>
          </w:p>
        </w:tc>
        <w:tc>
          <w:tcPr>
            <w:tcW w:w="8816" w:type="dxa"/>
            <w:tcBorders>
              <w:top w:val="nil"/>
              <w:left w:val="nil"/>
              <w:bottom w:val="nil"/>
              <w:right w:val="nil"/>
            </w:tcBorders>
          </w:tcPr>
          <w:p w14:paraId="631178C5" w14:textId="77777777" w:rsidR="003604D4" w:rsidRDefault="003604D4" w:rsidP="003604D4">
            <w:pPr>
              <w:pStyle w:val="Heading1"/>
              <w:tabs>
                <w:tab w:val="right" w:pos="8600"/>
              </w:tabs>
              <w:rPr>
                <w:lang w:val="en-US"/>
              </w:rPr>
            </w:pPr>
          </w:p>
        </w:tc>
      </w:tr>
      <w:tr w:rsidR="005B6106" w:rsidRPr="007D0DCD" w14:paraId="044245EE" w14:textId="77777777" w:rsidTr="66E037C6">
        <w:tc>
          <w:tcPr>
            <w:tcW w:w="817" w:type="dxa"/>
            <w:tcBorders>
              <w:top w:val="nil"/>
              <w:left w:val="nil"/>
              <w:bottom w:val="nil"/>
              <w:right w:val="nil"/>
            </w:tcBorders>
          </w:tcPr>
          <w:p w14:paraId="121B641D" w14:textId="77777777" w:rsidR="005B6106" w:rsidRPr="003C1B99" w:rsidRDefault="005B6106" w:rsidP="005B6106">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3FDC5F56" w14:textId="5EA9B201" w:rsidR="005B6106" w:rsidRPr="00F407AD" w:rsidRDefault="005B6106" w:rsidP="005B6106">
            <w:pPr>
              <w:rPr>
                <w:rFonts w:eastAsia="Times New Roman" w:cs="Arial"/>
                <w:color w:val="000000" w:themeColor="text1"/>
                <w:szCs w:val="20"/>
                <w:lang w:eastAsia="en-GB"/>
              </w:rPr>
            </w:pPr>
            <w:r w:rsidRPr="0000707F">
              <w:rPr>
                <w:rFonts w:ascii="Calibri" w:eastAsia="Times New Roman" w:hAnsi="Calibri" w:cs="Arial"/>
                <w:szCs w:val="20"/>
                <w:lang w:eastAsia="en-GB"/>
              </w:rPr>
              <w:t>W</w:t>
            </w:r>
            <w:r w:rsidRPr="0000707F">
              <w:t>e</w:t>
            </w:r>
            <w:r>
              <w:t xml:space="preserve"> are committed to fairness and equality for all regardless of their age, disability, gender reassignment, marriage or civil partnership, pregnancy and maternity, sex, sexual orientation, race, and religion/belief, family circumstances or offending history, as referred to in our relevant </w:t>
            </w:r>
            <w:r w:rsidR="00B10497">
              <w:t xml:space="preserve">Trust </w:t>
            </w:r>
            <w:r>
              <w:t>policies. Our aim is to ensure that our policies and procedures do not create an unlawful unfair disadvantage for anyone, either directly or indirectly.</w:t>
            </w:r>
          </w:p>
        </w:tc>
      </w:tr>
      <w:tr w:rsidR="005B6106" w:rsidRPr="007D0DCD" w14:paraId="0B7CB2C7" w14:textId="77777777" w:rsidTr="66E037C6">
        <w:tc>
          <w:tcPr>
            <w:tcW w:w="817" w:type="dxa"/>
            <w:tcBorders>
              <w:top w:val="nil"/>
              <w:left w:val="nil"/>
              <w:bottom w:val="nil"/>
              <w:right w:val="nil"/>
            </w:tcBorders>
          </w:tcPr>
          <w:p w14:paraId="4E9A4548" w14:textId="77777777" w:rsidR="005B6106" w:rsidRPr="003C1B99" w:rsidRDefault="005B6106" w:rsidP="005B6106">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0F60B141" w14:textId="77777777" w:rsidR="005B6106" w:rsidRPr="00BA5AF4" w:rsidRDefault="005B6106" w:rsidP="005B6106">
            <w:pPr>
              <w:rPr>
                <w:rFonts w:ascii="Calibri" w:eastAsia="Times New Roman" w:hAnsi="Calibri" w:cs="Arial"/>
                <w:szCs w:val="20"/>
                <w:lang w:eastAsia="en-GB"/>
              </w:rPr>
            </w:pPr>
          </w:p>
        </w:tc>
      </w:tr>
      <w:tr w:rsidR="005B6106" w:rsidRPr="007D0DCD" w14:paraId="53109B6E" w14:textId="77777777" w:rsidTr="66E037C6">
        <w:tc>
          <w:tcPr>
            <w:tcW w:w="817" w:type="dxa"/>
            <w:tcBorders>
              <w:top w:val="nil"/>
              <w:left w:val="nil"/>
              <w:bottom w:val="nil"/>
              <w:right w:val="nil"/>
            </w:tcBorders>
          </w:tcPr>
          <w:p w14:paraId="49E33D8E" w14:textId="77777777" w:rsidR="005B6106" w:rsidRPr="003C1B99" w:rsidRDefault="005B6106" w:rsidP="005B6106">
            <w:pPr>
              <w:pStyle w:val="ListParagraph"/>
              <w:numPr>
                <w:ilvl w:val="1"/>
                <w:numId w:val="5"/>
              </w:numPr>
              <w:ind w:left="431" w:hanging="431"/>
              <w:rPr>
                <w:rFonts w:eastAsia="Times New Roman" w:cs="Arial"/>
                <w:b w:val="0"/>
                <w:color w:val="auto"/>
                <w:szCs w:val="20"/>
                <w:lang w:eastAsia="en-GB"/>
              </w:rPr>
            </w:pPr>
          </w:p>
        </w:tc>
        <w:tc>
          <w:tcPr>
            <w:tcW w:w="8816" w:type="dxa"/>
            <w:tcBorders>
              <w:top w:val="nil"/>
              <w:left w:val="nil"/>
              <w:bottom w:val="nil"/>
              <w:right w:val="nil"/>
            </w:tcBorders>
          </w:tcPr>
          <w:p w14:paraId="2DBD5272" w14:textId="4C81B801" w:rsidR="005B6106" w:rsidRPr="00BA5AF4" w:rsidRDefault="005B6106" w:rsidP="005B6106">
            <w:pPr>
              <w:rPr>
                <w:rFonts w:ascii="Calibri" w:eastAsia="Times New Roman" w:hAnsi="Calibri" w:cs="Arial"/>
                <w:szCs w:val="20"/>
                <w:lang w:eastAsia="en-GB"/>
              </w:rPr>
            </w:pPr>
            <w:r>
              <w:t>An Equality Impact Assessment has been undertaken in respect of this policy</w:t>
            </w:r>
            <w:r w:rsidR="00CD0287">
              <w:t xml:space="preserve"> and has been reviewed by the EDI Forum.</w:t>
            </w:r>
          </w:p>
        </w:tc>
      </w:tr>
      <w:tr w:rsidR="005B6106" w:rsidRPr="007D0DCD" w14:paraId="2229F12C" w14:textId="77777777" w:rsidTr="66E037C6">
        <w:tc>
          <w:tcPr>
            <w:tcW w:w="817" w:type="dxa"/>
            <w:tcBorders>
              <w:top w:val="nil"/>
              <w:left w:val="nil"/>
              <w:bottom w:val="nil"/>
              <w:right w:val="nil"/>
            </w:tcBorders>
          </w:tcPr>
          <w:p w14:paraId="3F27B7C2" w14:textId="77777777" w:rsidR="005B6106" w:rsidRPr="003C1B99" w:rsidRDefault="005B6106" w:rsidP="005B6106">
            <w:pPr>
              <w:pStyle w:val="ListParagraph"/>
              <w:ind w:left="431"/>
              <w:rPr>
                <w:rFonts w:eastAsia="Times New Roman" w:cs="Arial"/>
                <w:b w:val="0"/>
                <w:color w:val="auto"/>
                <w:szCs w:val="20"/>
                <w:lang w:eastAsia="en-GB"/>
              </w:rPr>
            </w:pPr>
          </w:p>
        </w:tc>
        <w:tc>
          <w:tcPr>
            <w:tcW w:w="8816" w:type="dxa"/>
            <w:tcBorders>
              <w:top w:val="nil"/>
              <w:left w:val="nil"/>
              <w:bottom w:val="nil"/>
              <w:right w:val="nil"/>
            </w:tcBorders>
          </w:tcPr>
          <w:p w14:paraId="77676844" w14:textId="77777777" w:rsidR="005B6106" w:rsidRDefault="005B6106" w:rsidP="005B6106">
            <w:pPr>
              <w:rPr>
                <w:rFonts w:ascii="Calibri" w:eastAsia="Times New Roman" w:hAnsi="Calibri" w:cs="Arial"/>
                <w:szCs w:val="20"/>
                <w:lang w:eastAsia="en-GB"/>
              </w:rPr>
            </w:pPr>
          </w:p>
          <w:p w14:paraId="0FD21AC7" w14:textId="77777777" w:rsidR="00985CD0" w:rsidRDefault="00985CD0" w:rsidP="005B6106">
            <w:pPr>
              <w:rPr>
                <w:rFonts w:ascii="Calibri" w:eastAsia="Times New Roman" w:hAnsi="Calibri" w:cs="Arial"/>
                <w:szCs w:val="20"/>
                <w:lang w:eastAsia="en-GB"/>
              </w:rPr>
            </w:pPr>
          </w:p>
          <w:p w14:paraId="3A745BDE" w14:textId="77777777" w:rsidR="00985CD0" w:rsidRDefault="00985CD0" w:rsidP="005B6106">
            <w:pPr>
              <w:rPr>
                <w:rFonts w:ascii="Calibri" w:eastAsia="Times New Roman" w:hAnsi="Calibri" w:cs="Arial"/>
                <w:szCs w:val="20"/>
                <w:lang w:eastAsia="en-GB"/>
              </w:rPr>
            </w:pPr>
          </w:p>
          <w:p w14:paraId="01722D88" w14:textId="77777777" w:rsidR="00985CD0" w:rsidRDefault="00985CD0" w:rsidP="005B6106">
            <w:pPr>
              <w:rPr>
                <w:rFonts w:ascii="Calibri" w:eastAsia="Times New Roman" w:hAnsi="Calibri" w:cs="Arial"/>
                <w:szCs w:val="20"/>
                <w:lang w:eastAsia="en-GB"/>
              </w:rPr>
            </w:pPr>
          </w:p>
          <w:p w14:paraId="71C15D6C" w14:textId="77777777" w:rsidR="00985CD0" w:rsidRPr="00BA5AF4" w:rsidRDefault="00985CD0" w:rsidP="005B6106">
            <w:pPr>
              <w:rPr>
                <w:rFonts w:ascii="Calibri" w:eastAsia="Times New Roman" w:hAnsi="Calibri" w:cs="Arial"/>
                <w:szCs w:val="20"/>
                <w:lang w:eastAsia="en-GB"/>
              </w:rPr>
            </w:pPr>
          </w:p>
        </w:tc>
      </w:tr>
      <w:tr w:rsidR="005B6106" w:rsidRPr="007D0DCD" w14:paraId="6D2C0195" w14:textId="77777777" w:rsidTr="66E037C6">
        <w:tc>
          <w:tcPr>
            <w:tcW w:w="817" w:type="dxa"/>
            <w:tcBorders>
              <w:top w:val="nil"/>
              <w:left w:val="nil"/>
              <w:bottom w:val="nil"/>
              <w:right w:val="nil"/>
            </w:tcBorders>
          </w:tcPr>
          <w:p w14:paraId="0D9507E7" w14:textId="77777777" w:rsidR="005B6106" w:rsidRPr="00E82464" w:rsidRDefault="005B6106" w:rsidP="005B6106">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295CEE3A" w14:textId="77777777" w:rsidR="005B6106" w:rsidRPr="00E82464" w:rsidRDefault="005B6106" w:rsidP="005B6106">
            <w:pPr>
              <w:pStyle w:val="Heading1"/>
              <w:rPr>
                <w:lang w:eastAsia="en-GB"/>
              </w:rPr>
            </w:pPr>
            <w:bookmarkStart w:id="16" w:name="_Toc116910374"/>
            <w:r w:rsidRPr="00E82464">
              <w:t>RESPONSIBILITIES</w:t>
            </w:r>
            <w:bookmarkEnd w:id="16"/>
          </w:p>
        </w:tc>
      </w:tr>
      <w:tr w:rsidR="005B6106" w:rsidRPr="007D0DCD" w14:paraId="227BF9D9" w14:textId="77777777" w:rsidTr="66E037C6">
        <w:trPr>
          <w:gridAfter w:val="1"/>
          <w:wAfter w:w="8816" w:type="dxa"/>
        </w:trPr>
        <w:tc>
          <w:tcPr>
            <w:tcW w:w="817" w:type="dxa"/>
            <w:tcBorders>
              <w:top w:val="nil"/>
              <w:left w:val="nil"/>
              <w:bottom w:val="nil"/>
              <w:right w:val="nil"/>
            </w:tcBorders>
          </w:tcPr>
          <w:p w14:paraId="4C459B27" w14:textId="77777777" w:rsidR="005B6106" w:rsidRPr="00E82464" w:rsidRDefault="005B6106" w:rsidP="005B6106">
            <w:pPr>
              <w:rPr>
                <w:rFonts w:eastAsia="Times New Roman" w:cs="Arial"/>
                <w:szCs w:val="20"/>
                <w:lang w:eastAsia="en-GB"/>
              </w:rPr>
            </w:pPr>
          </w:p>
        </w:tc>
      </w:tr>
      <w:tr w:rsidR="005B6106" w:rsidRPr="007D0DCD" w14:paraId="154507C3" w14:textId="77777777" w:rsidTr="66E037C6">
        <w:tc>
          <w:tcPr>
            <w:tcW w:w="817" w:type="dxa"/>
            <w:tcBorders>
              <w:top w:val="nil"/>
              <w:left w:val="nil"/>
              <w:bottom w:val="nil"/>
              <w:right w:val="nil"/>
            </w:tcBorders>
          </w:tcPr>
          <w:p w14:paraId="092CC823"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6069313" w14:textId="3F8833C3" w:rsidR="005B6106" w:rsidRPr="00BA5AF4" w:rsidRDefault="005B6106" w:rsidP="005B6106">
            <w:pPr>
              <w:rPr>
                <w:rFonts w:ascii="Calibri" w:eastAsia="Times New Roman" w:hAnsi="Calibri" w:cs="Arial"/>
                <w:szCs w:val="20"/>
                <w:lang w:eastAsia="en-GB"/>
              </w:rPr>
            </w:pPr>
            <w:r>
              <w:t>The Trust will subscribe to an online national mutual exchange service which allows tenants to register their interest in a mutual exchange and find suitable exchange properties.</w:t>
            </w:r>
          </w:p>
        </w:tc>
      </w:tr>
      <w:tr w:rsidR="005B6106" w:rsidRPr="007D0DCD" w14:paraId="0050CACF" w14:textId="77777777" w:rsidTr="66E037C6">
        <w:tc>
          <w:tcPr>
            <w:tcW w:w="817" w:type="dxa"/>
            <w:tcBorders>
              <w:top w:val="nil"/>
              <w:left w:val="nil"/>
              <w:bottom w:val="nil"/>
              <w:right w:val="nil"/>
            </w:tcBorders>
          </w:tcPr>
          <w:p w14:paraId="0A6DB809"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2E39F3F5" w14:textId="77777777" w:rsidR="005B6106" w:rsidRPr="00BA5AF4" w:rsidRDefault="005B6106" w:rsidP="005B6106">
            <w:pPr>
              <w:rPr>
                <w:rFonts w:ascii="Calibri" w:eastAsia="Times New Roman" w:hAnsi="Calibri" w:cs="Arial"/>
                <w:szCs w:val="20"/>
                <w:lang w:eastAsia="en-GB"/>
              </w:rPr>
            </w:pPr>
          </w:p>
        </w:tc>
      </w:tr>
      <w:tr w:rsidR="005B6106" w:rsidRPr="007D0DCD" w14:paraId="12D45943" w14:textId="77777777" w:rsidTr="66E037C6">
        <w:tc>
          <w:tcPr>
            <w:tcW w:w="817" w:type="dxa"/>
            <w:tcBorders>
              <w:top w:val="nil"/>
              <w:left w:val="nil"/>
              <w:bottom w:val="nil"/>
              <w:right w:val="nil"/>
            </w:tcBorders>
          </w:tcPr>
          <w:p w14:paraId="498BBDEC"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101F302" w14:textId="51B7D1E3" w:rsidR="005B6106" w:rsidRPr="00BA5AF4" w:rsidRDefault="005B6106" w:rsidP="005B6106">
            <w:pPr>
              <w:rPr>
                <w:rFonts w:ascii="Calibri" w:eastAsia="Times New Roman" w:hAnsi="Calibri" w:cs="Arial"/>
                <w:szCs w:val="20"/>
                <w:lang w:eastAsia="en-GB"/>
              </w:rPr>
            </w:pPr>
            <w:r>
              <w:rPr>
                <w:rFonts w:ascii="Calibri" w:eastAsia="Times New Roman" w:hAnsi="Calibri" w:cs="Arial"/>
                <w:szCs w:val="20"/>
                <w:lang w:eastAsia="en-GB"/>
              </w:rPr>
              <w:t>The Executive Management Team are responsible for approving this Policy.</w:t>
            </w:r>
          </w:p>
        </w:tc>
      </w:tr>
      <w:tr w:rsidR="005B6106" w:rsidRPr="007D0DCD" w14:paraId="058BBD4C" w14:textId="77777777" w:rsidTr="66E037C6">
        <w:tc>
          <w:tcPr>
            <w:tcW w:w="817" w:type="dxa"/>
            <w:tcBorders>
              <w:top w:val="nil"/>
              <w:left w:val="nil"/>
              <w:bottom w:val="nil"/>
              <w:right w:val="nil"/>
            </w:tcBorders>
          </w:tcPr>
          <w:p w14:paraId="7B258866"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69EEB467" w14:textId="77777777" w:rsidR="005B6106" w:rsidRPr="00BA5AF4" w:rsidRDefault="005B6106" w:rsidP="005B6106">
            <w:pPr>
              <w:rPr>
                <w:rFonts w:ascii="Calibri" w:eastAsia="Times New Roman" w:hAnsi="Calibri" w:cs="Arial"/>
                <w:szCs w:val="20"/>
                <w:lang w:eastAsia="en-GB"/>
              </w:rPr>
            </w:pPr>
          </w:p>
        </w:tc>
      </w:tr>
      <w:tr w:rsidR="005B6106" w:rsidRPr="007D0DCD" w14:paraId="38743948" w14:textId="77777777" w:rsidTr="66E037C6">
        <w:tc>
          <w:tcPr>
            <w:tcW w:w="817" w:type="dxa"/>
            <w:tcBorders>
              <w:top w:val="nil"/>
              <w:left w:val="nil"/>
              <w:bottom w:val="nil"/>
              <w:right w:val="nil"/>
            </w:tcBorders>
          </w:tcPr>
          <w:p w14:paraId="5CE9B2F9"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2A0F83EA" w14:textId="77777777" w:rsidR="005B6106" w:rsidRDefault="005B6106" w:rsidP="005B6106">
            <w:r w:rsidRPr="00842E7C">
              <w:t>The Head of Neighbourhoods is responsible for ensuring this policy complies with legislative requirements.</w:t>
            </w:r>
          </w:p>
          <w:p w14:paraId="0C83D44D" w14:textId="394493B4" w:rsidR="00AC58C1" w:rsidRPr="00BA5AF4" w:rsidRDefault="00AC58C1" w:rsidP="005B6106">
            <w:pPr>
              <w:rPr>
                <w:rFonts w:ascii="Calibri" w:eastAsia="Times New Roman" w:hAnsi="Calibri" w:cs="Arial"/>
                <w:szCs w:val="20"/>
                <w:lang w:eastAsia="en-GB"/>
              </w:rPr>
            </w:pPr>
          </w:p>
        </w:tc>
      </w:tr>
      <w:tr w:rsidR="005B6106" w:rsidRPr="007D0DCD" w14:paraId="776ACCD9" w14:textId="77777777" w:rsidTr="66E037C6">
        <w:tc>
          <w:tcPr>
            <w:tcW w:w="817" w:type="dxa"/>
            <w:tcBorders>
              <w:top w:val="nil"/>
              <w:left w:val="nil"/>
              <w:bottom w:val="nil"/>
              <w:right w:val="nil"/>
            </w:tcBorders>
          </w:tcPr>
          <w:p w14:paraId="30AA6D7C"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4AD24612" w14:textId="77777777" w:rsidR="005B6106" w:rsidRDefault="005B6106" w:rsidP="005B6106">
            <w:r>
              <w:t>The Neighbourhood Manager is responsible for ensuring day to day compliance of this policy and procedure.</w:t>
            </w:r>
          </w:p>
          <w:p w14:paraId="1536EE90" w14:textId="4C02B476" w:rsidR="00AC58C1" w:rsidRDefault="00AC58C1" w:rsidP="005B6106"/>
        </w:tc>
      </w:tr>
      <w:tr w:rsidR="005B6106" w:rsidRPr="007D0DCD" w14:paraId="0BF4992D" w14:textId="77777777" w:rsidTr="66E037C6">
        <w:tc>
          <w:tcPr>
            <w:tcW w:w="817" w:type="dxa"/>
            <w:tcBorders>
              <w:top w:val="nil"/>
              <w:left w:val="nil"/>
              <w:bottom w:val="nil"/>
              <w:right w:val="nil"/>
            </w:tcBorders>
          </w:tcPr>
          <w:p w14:paraId="5741860F"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541CD8E" w14:textId="00AF90F2" w:rsidR="005B6106" w:rsidRDefault="005B6106" w:rsidP="005B6106">
            <w:r>
              <w:t>The Neighbourhood Team are responsible for managing applications and updating applicants</w:t>
            </w:r>
            <w:r w:rsidR="00AC58C1">
              <w:t xml:space="preserve"> and ensuring the Housing Management System is kept up to date.</w:t>
            </w:r>
          </w:p>
          <w:p w14:paraId="07C0D694" w14:textId="464A965B" w:rsidR="00AC58C1" w:rsidRDefault="00AC58C1" w:rsidP="005B6106"/>
        </w:tc>
      </w:tr>
      <w:tr w:rsidR="005B6106" w:rsidRPr="007D0DCD" w14:paraId="4B516763" w14:textId="77777777" w:rsidTr="66E037C6">
        <w:tc>
          <w:tcPr>
            <w:tcW w:w="817" w:type="dxa"/>
            <w:tcBorders>
              <w:top w:val="nil"/>
              <w:left w:val="nil"/>
              <w:bottom w:val="nil"/>
              <w:right w:val="nil"/>
            </w:tcBorders>
          </w:tcPr>
          <w:p w14:paraId="41A509AC"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370D968" w14:textId="4EFDCD4A" w:rsidR="00AC58C1" w:rsidRDefault="005B6106" w:rsidP="005B6106">
            <w:r>
              <w:t>The Neighbourhood Team are responsible for monitoring and approving applications on Home S</w:t>
            </w:r>
            <w:r w:rsidR="003604D4">
              <w:t>w</w:t>
            </w:r>
            <w:r>
              <w:t>apper.</w:t>
            </w:r>
          </w:p>
        </w:tc>
      </w:tr>
      <w:tr w:rsidR="005B6106" w:rsidRPr="007D0DCD" w14:paraId="0601A0F3" w14:textId="77777777" w:rsidTr="66E037C6">
        <w:tc>
          <w:tcPr>
            <w:tcW w:w="817" w:type="dxa"/>
            <w:tcBorders>
              <w:top w:val="nil"/>
              <w:left w:val="nil"/>
              <w:bottom w:val="nil"/>
              <w:right w:val="nil"/>
            </w:tcBorders>
          </w:tcPr>
          <w:p w14:paraId="08B06888"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72A6D9E2" w14:textId="77777777" w:rsidR="005B6106" w:rsidRPr="00BA5AF4" w:rsidRDefault="005B6106" w:rsidP="005B6106">
            <w:pPr>
              <w:rPr>
                <w:rFonts w:ascii="Calibri" w:eastAsia="Times New Roman" w:hAnsi="Calibri" w:cs="Arial"/>
                <w:szCs w:val="20"/>
                <w:lang w:eastAsia="en-GB"/>
              </w:rPr>
            </w:pPr>
          </w:p>
        </w:tc>
      </w:tr>
      <w:tr w:rsidR="005B6106" w:rsidRPr="007D0DCD" w14:paraId="345C3FED" w14:textId="77777777" w:rsidTr="66E037C6">
        <w:trPr>
          <w:trHeight w:hRule="exact" w:val="340"/>
        </w:trPr>
        <w:tc>
          <w:tcPr>
            <w:tcW w:w="817" w:type="dxa"/>
            <w:tcBorders>
              <w:top w:val="nil"/>
              <w:left w:val="nil"/>
              <w:bottom w:val="nil"/>
              <w:right w:val="nil"/>
            </w:tcBorders>
          </w:tcPr>
          <w:p w14:paraId="2E4D5C4F" w14:textId="77777777" w:rsidR="005B6106" w:rsidRPr="00E82464" w:rsidRDefault="005B6106" w:rsidP="005B6106">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68DAFE57" w14:textId="61B1C55D" w:rsidR="005B6106" w:rsidRPr="00601BEC" w:rsidRDefault="005B6106" w:rsidP="005B6106">
            <w:pPr>
              <w:pStyle w:val="Heading1"/>
              <w:rPr>
                <w:rFonts w:eastAsia="Cambria"/>
                <w:szCs w:val="24"/>
                <w:lang w:val="en-US"/>
              </w:rPr>
            </w:pPr>
            <w:bookmarkStart w:id="17" w:name="_Toc116910375"/>
            <w:r w:rsidRPr="006B16FC">
              <w:rPr>
                <w:lang w:val="en-US"/>
              </w:rPr>
              <w:t xml:space="preserve">MONITORING </w:t>
            </w:r>
            <w:r>
              <w:rPr>
                <w:lang w:val="en-US"/>
              </w:rPr>
              <w:t>AND REPORTING</w:t>
            </w:r>
            <w:bookmarkEnd w:id="17"/>
          </w:p>
        </w:tc>
      </w:tr>
      <w:tr w:rsidR="005B6106" w:rsidRPr="007D0DCD" w14:paraId="76010C54" w14:textId="77777777" w:rsidTr="66E037C6">
        <w:tc>
          <w:tcPr>
            <w:tcW w:w="817" w:type="dxa"/>
            <w:tcBorders>
              <w:top w:val="nil"/>
              <w:left w:val="nil"/>
              <w:bottom w:val="nil"/>
              <w:right w:val="nil"/>
            </w:tcBorders>
          </w:tcPr>
          <w:p w14:paraId="4F319507"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3C2F19E4" w14:textId="77777777" w:rsidR="005B6106" w:rsidRPr="00A064EB" w:rsidRDefault="005B6106" w:rsidP="005B6106">
            <w:pPr>
              <w:rPr>
                <w:i/>
                <w:iCs/>
                <w:color w:val="FF0000"/>
                <w:lang w:val="en-US"/>
              </w:rPr>
            </w:pPr>
          </w:p>
        </w:tc>
      </w:tr>
      <w:tr w:rsidR="005B6106" w:rsidRPr="007D0DCD" w14:paraId="470AE2B7" w14:textId="77777777" w:rsidTr="66E037C6">
        <w:tc>
          <w:tcPr>
            <w:tcW w:w="817" w:type="dxa"/>
            <w:tcBorders>
              <w:top w:val="nil"/>
              <w:left w:val="nil"/>
              <w:bottom w:val="nil"/>
              <w:right w:val="nil"/>
            </w:tcBorders>
          </w:tcPr>
          <w:p w14:paraId="4FFB6577"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A707379" w14:textId="277CE47E" w:rsidR="005B6106" w:rsidRPr="0000707F" w:rsidRDefault="005B6106" w:rsidP="005B6106">
            <w:pPr>
              <w:rPr>
                <w:rFonts w:ascii="Calibri" w:eastAsia="Times New Roman" w:hAnsi="Calibri" w:cs="Arial"/>
                <w:szCs w:val="20"/>
                <w:lang w:eastAsia="en-GB"/>
              </w:rPr>
            </w:pPr>
            <w:r w:rsidRPr="0000707F">
              <w:rPr>
                <w:rFonts w:ascii="Calibri" w:eastAsia="Times New Roman" w:hAnsi="Calibri" w:cs="Arial"/>
                <w:szCs w:val="20"/>
                <w:lang w:eastAsia="en-GB"/>
              </w:rPr>
              <w:t xml:space="preserve">Annually an Allocations Report </w:t>
            </w:r>
            <w:r w:rsidR="00AF6619">
              <w:rPr>
                <w:rFonts w:ascii="Calibri" w:eastAsia="Times New Roman" w:hAnsi="Calibri" w:cs="Arial"/>
                <w:szCs w:val="20"/>
                <w:lang w:eastAsia="en-GB"/>
              </w:rPr>
              <w:t xml:space="preserve">is </w:t>
            </w:r>
            <w:r w:rsidR="00591E9B">
              <w:rPr>
                <w:rFonts w:ascii="Calibri" w:eastAsia="Times New Roman" w:hAnsi="Calibri" w:cs="Arial"/>
                <w:szCs w:val="20"/>
                <w:lang w:eastAsia="en-GB"/>
              </w:rPr>
              <w:t xml:space="preserve">presented </w:t>
            </w:r>
            <w:r w:rsidRPr="0000707F">
              <w:rPr>
                <w:rFonts w:ascii="Calibri" w:eastAsia="Times New Roman" w:hAnsi="Calibri" w:cs="Arial"/>
                <w:szCs w:val="20"/>
                <w:lang w:eastAsia="en-GB"/>
              </w:rPr>
              <w:t xml:space="preserve">to </w:t>
            </w:r>
            <w:r w:rsidR="00591E9B">
              <w:rPr>
                <w:rFonts w:ascii="Calibri" w:eastAsia="Times New Roman" w:hAnsi="Calibri" w:cs="Arial"/>
                <w:szCs w:val="20"/>
                <w:lang w:eastAsia="en-GB"/>
              </w:rPr>
              <w:t xml:space="preserve">the </w:t>
            </w:r>
            <w:r w:rsidRPr="0000707F">
              <w:rPr>
                <w:rFonts w:ascii="Calibri" w:eastAsia="Times New Roman" w:hAnsi="Calibri" w:cs="Arial"/>
                <w:szCs w:val="20"/>
                <w:lang w:eastAsia="en-GB"/>
              </w:rPr>
              <w:t>Board which contains information on Mutual Exchanges</w:t>
            </w:r>
            <w:r w:rsidR="00AC58C1">
              <w:rPr>
                <w:rFonts w:ascii="Calibri" w:eastAsia="Times New Roman" w:hAnsi="Calibri" w:cs="Arial"/>
                <w:szCs w:val="20"/>
                <w:lang w:eastAsia="en-GB"/>
              </w:rPr>
              <w:t xml:space="preserve"> and any exceptional lets</w:t>
            </w:r>
            <w:r w:rsidRPr="0000707F">
              <w:rPr>
                <w:rFonts w:ascii="Calibri" w:eastAsia="Times New Roman" w:hAnsi="Calibri" w:cs="Arial"/>
                <w:szCs w:val="20"/>
                <w:lang w:eastAsia="en-GB"/>
              </w:rPr>
              <w:t>.</w:t>
            </w:r>
          </w:p>
        </w:tc>
      </w:tr>
      <w:tr w:rsidR="005B6106" w:rsidRPr="007D0DCD" w14:paraId="2AFA49DB" w14:textId="77777777" w:rsidTr="66E037C6">
        <w:tc>
          <w:tcPr>
            <w:tcW w:w="817" w:type="dxa"/>
            <w:tcBorders>
              <w:top w:val="nil"/>
              <w:left w:val="nil"/>
              <w:bottom w:val="nil"/>
              <w:right w:val="nil"/>
            </w:tcBorders>
          </w:tcPr>
          <w:p w14:paraId="07A866C4"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627B3056" w14:textId="77777777" w:rsidR="005B6106" w:rsidRPr="00BA5AF4" w:rsidRDefault="005B6106" w:rsidP="005B6106">
            <w:pPr>
              <w:rPr>
                <w:rFonts w:ascii="Calibri" w:eastAsia="Times New Roman" w:hAnsi="Calibri" w:cs="Arial"/>
                <w:szCs w:val="20"/>
                <w:lang w:eastAsia="en-GB"/>
              </w:rPr>
            </w:pPr>
          </w:p>
        </w:tc>
      </w:tr>
      <w:tr w:rsidR="005B6106" w:rsidRPr="007D0DCD" w14:paraId="370FD2E0" w14:textId="77777777" w:rsidTr="66E037C6">
        <w:tc>
          <w:tcPr>
            <w:tcW w:w="817" w:type="dxa"/>
            <w:tcBorders>
              <w:top w:val="nil"/>
              <w:left w:val="nil"/>
              <w:bottom w:val="nil"/>
              <w:right w:val="nil"/>
            </w:tcBorders>
          </w:tcPr>
          <w:p w14:paraId="5EF01EA3" w14:textId="77777777" w:rsidR="005B6106" w:rsidRPr="00E82464" w:rsidRDefault="005B6106" w:rsidP="005B6106">
            <w:pPr>
              <w:pStyle w:val="ListParagraph"/>
              <w:numPr>
                <w:ilvl w:val="2"/>
                <w:numId w:val="5"/>
              </w:numPr>
              <w:rPr>
                <w:rFonts w:eastAsia="Times New Roman" w:cs="Arial"/>
                <w:szCs w:val="20"/>
                <w:lang w:eastAsia="en-GB"/>
              </w:rPr>
            </w:pPr>
          </w:p>
        </w:tc>
        <w:tc>
          <w:tcPr>
            <w:tcW w:w="8816" w:type="dxa"/>
            <w:tcBorders>
              <w:top w:val="nil"/>
              <w:left w:val="nil"/>
              <w:bottom w:val="nil"/>
              <w:right w:val="nil"/>
            </w:tcBorders>
          </w:tcPr>
          <w:p w14:paraId="3CD44961" w14:textId="7D567F59" w:rsidR="005B6106" w:rsidRPr="00BA5AF4" w:rsidRDefault="005B6106" w:rsidP="005B6106">
            <w:pPr>
              <w:rPr>
                <w:rFonts w:ascii="Calibri" w:eastAsia="Times New Roman" w:hAnsi="Calibri" w:cs="Arial"/>
                <w:szCs w:val="20"/>
                <w:lang w:eastAsia="en-GB"/>
              </w:rPr>
            </w:pPr>
            <w:r>
              <w:rPr>
                <w:rFonts w:ascii="Calibri" w:eastAsia="Times New Roman" w:hAnsi="Calibri" w:cs="Arial"/>
                <w:szCs w:val="20"/>
                <w:lang w:eastAsia="en-GB"/>
              </w:rPr>
              <w:t xml:space="preserve">Performance indicators on Mutual Exchange </w:t>
            </w:r>
            <w:r w:rsidR="000A7DF3">
              <w:rPr>
                <w:rFonts w:ascii="Calibri" w:eastAsia="Times New Roman" w:hAnsi="Calibri" w:cs="Arial"/>
                <w:szCs w:val="20"/>
                <w:lang w:eastAsia="en-GB"/>
              </w:rPr>
              <w:t xml:space="preserve">are reported </w:t>
            </w:r>
            <w:r>
              <w:rPr>
                <w:rFonts w:ascii="Calibri" w:eastAsia="Times New Roman" w:hAnsi="Calibri" w:cs="Arial"/>
                <w:szCs w:val="20"/>
                <w:lang w:eastAsia="en-GB"/>
              </w:rPr>
              <w:t>to the Performance Management Group.</w:t>
            </w:r>
          </w:p>
        </w:tc>
      </w:tr>
      <w:tr w:rsidR="005B6106" w:rsidRPr="007D0DCD" w14:paraId="5EC52C4D" w14:textId="77777777" w:rsidTr="66E037C6">
        <w:tc>
          <w:tcPr>
            <w:tcW w:w="817" w:type="dxa"/>
            <w:tcBorders>
              <w:top w:val="nil"/>
              <w:left w:val="nil"/>
              <w:bottom w:val="nil"/>
              <w:right w:val="nil"/>
            </w:tcBorders>
          </w:tcPr>
          <w:p w14:paraId="3E8BED66"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191F3F1E" w14:textId="77777777" w:rsidR="005B6106" w:rsidRPr="00BA5AF4" w:rsidRDefault="005B6106" w:rsidP="005B6106">
            <w:pPr>
              <w:rPr>
                <w:rFonts w:ascii="Calibri" w:eastAsia="Times New Roman" w:hAnsi="Calibri" w:cs="Arial"/>
                <w:szCs w:val="20"/>
                <w:lang w:eastAsia="en-GB"/>
              </w:rPr>
            </w:pPr>
          </w:p>
        </w:tc>
      </w:tr>
      <w:tr w:rsidR="005B6106" w:rsidRPr="007D0DCD" w14:paraId="46FF3840" w14:textId="77777777" w:rsidTr="66E037C6">
        <w:tc>
          <w:tcPr>
            <w:tcW w:w="817" w:type="dxa"/>
            <w:tcBorders>
              <w:top w:val="nil"/>
              <w:left w:val="nil"/>
              <w:bottom w:val="nil"/>
              <w:right w:val="nil"/>
            </w:tcBorders>
          </w:tcPr>
          <w:p w14:paraId="38118486"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315D0FD" w14:textId="086A2135" w:rsidR="005B6106" w:rsidRPr="00BA5AF4" w:rsidRDefault="005B6106" w:rsidP="005B6106">
            <w:pPr>
              <w:rPr>
                <w:rFonts w:ascii="Calibri" w:eastAsia="Times New Roman" w:hAnsi="Calibri" w:cs="Arial"/>
                <w:szCs w:val="20"/>
                <w:lang w:eastAsia="en-GB"/>
              </w:rPr>
            </w:pPr>
            <w:r>
              <w:rPr>
                <w:rFonts w:ascii="Calibri" w:eastAsia="Times New Roman" w:hAnsi="Calibri" w:cs="Arial"/>
                <w:szCs w:val="20"/>
                <w:lang w:eastAsia="en-GB"/>
              </w:rPr>
              <w:t>Applications are monitored by the Neighbourhood Team, and timeframes are monitored by the Neighbourhood Manager.</w:t>
            </w:r>
          </w:p>
        </w:tc>
      </w:tr>
      <w:tr w:rsidR="005B6106" w:rsidRPr="007D0DCD" w14:paraId="0BCC2ECD" w14:textId="77777777" w:rsidTr="66E037C6">
        <w:tc>
          <w:tcPr>
            <w:tcW w:w="817" w:type="dxa"/>
            <w:tcBorders>
              <w:top w:val="nil"/>
              <w:left w:val="nil"/>
              <w:bottom w:val="nil"/>
              <w:right w:val="nil"/>
            </w:tcBorders>
          </w:tcPr>
          <w:p w14:paraId="1381B931" w14:textId="77777777" w:rsidR="005B6106" w:rsidRPr="00E82464" w:rsidRDefault="005B6106" w:rsidP="005B6106">
            <w:pPr>
              <w:pStyle w:val="ListParagraph"/>
              <w:ind w:left="0"/>
              <w:rPr>
                <w:rFonts w:eastAsia="Times New Roman" w:cs="Arial"/>
                <w:szCs w:val="20"/>
                <w:lang w:eastAsia="en-GB"/>
              </w:rPr>
            </w:pPr>
          </w:p>
        </w:tc>
        <w:tc>
          <w:tcPr>
            <w:tcW w:w="8816" w:type="dxa"/>
            <w:tcBorders>
              <w:top w:val="nil"/>
              <w:left w:val="nil"/>
              <w:bottom w:val="nil"/>
              <w:right w:val="nil"/>
            </w:tcBorders>
          </w:tcPr>
          <w:p w14:paraId="72AA56AD" w14:textId="77777777" w:rsidR="005B6106" w:rsidRPr="00BA5AF4" w:rsidRDefault="005B6106" w:rsidP="005B6106">
            <w:pPr>
              <w:rPr>
                <w:rFonts w:ascii="Calibri" w:eastAsia="Times New Roman" w:hAnsi="Calibri" w:cs="Arial"/>
                <w:szCs w:val="20"/>
                <w:lang w:eastAsia="en-GB"/>
              </w:rPr>
            </w:pPr>
          </w:p>
        </w:tc>
      </w:tr>
      <w:tr w:rsidR="005B6106" w:rsidRPr="007D0DCD" w14:paraId="0E2373E6" w14:textId="77777777" w:rsidTr="66E037C6">
        <w:tc>
          <w:tcPr>
            <w:tcW w:w="817" w:type="dxa"/>
            <w:tcBorders>
              <w:top w:val="nil"/>
              <w:left w:val="nil"/>
              <w:bottom w:val="nil"/>
              <w:right w:val="nil"/>
            </w:tcBorders>
          </w:tcPr>
          <w:p w14:paraId="10EFD183" w14:textId="77777777" w:rsidR="005B6106" w:rsidRPr="00E82464" w:rsidRDefault="005B6106" w:rsidP="005B6106">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5B4556E5" w14:textId="394E24D1" w:rsidR="005B6106" w:rsidRPr="00601BEC" w:rsidRDefault="005B6106" w:rsidP="005B6106">
            <w:pPr>
              <w:pStyle w:val="Heading1"/>
              <w:rPr>
                <w:rFonts w:cs="Arial"/>
                <w:szCs w:val="20"/>
                <w:lang w:eastAsia="en-GB"/>
              </w:rPr>
            </w:pPr>
            <w:bookmarkStart w:id="18" w:name="_Toc116910376"/>
            <w:r w:rsidRPr="00601BEC">
              <w:rPr>
                <w:lang w:val="en-US"/>
              </w:rPr>
              <w:t>CONSULTATION</w:t>
            </w:r>
            <w:bookmarkEnd w:id="18"/>
          </w:p>
        </w:tc>
      </w:tr>
      <w:tr w:rsidR="005B6106" w:rsidRPr="007D0DCD" w14:paraId="3C8620D2" w14:textId="77777777" w:rsidTr="66E037C6">
        <w:tc>
          <w:tcPr>
            <w:tcW w:w="817" w:type="dxa"/>
            <w:tcBorders>
              <w:top w:val="nil"/>
              <w:left w:val="nil"/>
              <w:bottom w:val="nil"/>
              <w:right w:val="nil"/>
            </w:tcBorders>
          </w:tcPr>
          <w:p w14:paraId="19BB5D00"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43EB7F79" w14:textId="6CE59890" w:rsidR="005B6106" w:rsidRPr="00B06B2A" w:rsidRDefault="005B6106" w:rsidP="005B6106">
            <w:pPr>
              <w:rPr>
                <w:b/>
                <w:bCs/>
                <w:i/>
                <w:iCs/>
                <w:color w:val="A6A6A6" w:themeColor="background1" w:themeShade="A6"/>
                <w:lang w:val="en-US"/>
              </w:rPr>
            </w:pPr>
          </w:p>
        </w:tc>
      </w:tr>
      <w:tr w:rsidR="005B6106" w:rsidRPr="007D0DCD" w14:paraId="4352E24B" w14:textId="77777777" w:rsidTr="66E037C6">
        <w:tc>
          <w:tcPr>
            <w:tcW w:w="817" w:type="dxa"/>
            <w:tcBorders>
              <w:top w:val="nil"/>
              <w:left w:val="nil"/>
              <w:bottom w:val="nil"/>
              <w:right w:val="nil"/>
            </w:tcBorders>
          </w:tcPr>
          <w:p w14:paraId="180BAB10"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12AE49D3" w14:textId="73870558" w:rsidR="005B6106" w:rsidRPr="0000707F" w:rsidRDefault="005B6106" w:rsidP="005B6106">
            <w:pPr>
              <w:rPr>
                <w:rFonts w:ascii="Calibri" w:eastAsia="Times New Roman" w:hAnsi="Calibri" w:cs="Arial"/>
                <w:szCs w:val="20"/>
                <w:lang w:eastAsia="en-GB"/>
              </w:rPr>
            </w:pPr>
            <w:r w:rsidRPr="0000707F">
              <w:rPr>
                <w:rFonts w:ascii="Calibri" w:eastAsia="Times New Roman" w:hAnsi="Calibri" w:cs="Arial"/>
                <w:szCs w:val="20"/>
                <w:lang w:eastAsia="en-GB"/>
              </w:rPr>
              <w:t>Customers have been consulted on this policy</w:t>
            </w:r>
            <w:r w:rsidR="000F56E0">
              <w:rPr>
                <w:rFonts w:ascii="Calibri" w:eastAsia="Times New Roman" w:hAnsi="Calibri" w:cs="Arial"/>
                <w:szCs w:val="20"/>
                <w:lang w:eastAsia="en-GB"/>
              </w:rPr>
              <w:t xml:space="preserve">. A survey was sent to digital customers and </w:t>
            </w:r>
            <w:r w:rsidR="000539E8">
              <w:rPr>
                <w:rFonts w:ascii="Calibri" w:eastAsia="Times New Roman" w:hAnsi="Calibri" w:cs="Arial"/>
                <w:szCs w:val="20"/>
                <w:lang w:eastAsia="en-GB"/>
              </w:rPr>
              <w:t xml:space="preserve">to those who participated in an exchange in 2023-24. The Policy was </w:t>
            </w:r>
            <w:r w:rsidR="003604D4">
              <w:rPr>
                <w:rFonts w:ascii="Calibri" w:eastAsia="Times New Roman" w:hAnsi="Calibri" w:cs="Arial"/>
                <w:szCs w:val="20"/>
                <w:lang w:eastAsia="en-GB"/>
              </w:rPr>
              <w:t xml:space="preserve">supported </w:t>
            </w:r>
            <w:r w:rsidR="000539E8">
              <w:rPr>
                <w:rFonts w:ascii="Calibri" w:eastAsia="Times New Roman" w:hAnsi="Calibri" w:cs="Arial"/>
                <w:szCs w:val="20"/>
                <w:lang w:eastAsia="en-GB"/>
              </w:rPr>
              <w:t xml:space="preserve">by Challenge Group. </w:t>
            </w:r>
          </w:p>
        </w:tc>
      </w:tr>
      <w:tr w:rsidR="005B6106" w:rsidRPr="007D0DCD" w14:paraId="7AE0E264" w14:textId="77777777" w:rsidTr="66E037C6">
        <w:tc>
          <w:tcPr>
            <w:tcW w:w="817" w:type="dxa"/>
            <w:tcBorders>
              <w:top w:val="nil"/>
              <w:left w:val="nil"/>
              <w:bottom w:val="nil"/>
              <w:right w:val="nil"/>
            </w:tcBorders>
          </w:tcPr>
          <w:p w14:paraId="0C65FAA1"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3F4CA84A" w14:textId="77777777" w:rsidR="005B6106" w:rsidRPr="00BA5AF4" w:rsidRDefault="005B6106" w:rsidP="005B6106">
            <w:pPr>
              <w:rPr>
                <w:rFonts w:ascii="Calibri" w:eastAsia="Times New Roman" w:hAnsi="Calibri" w:cs="Arial"/>
                <w:szCs w:val="20"/>
                <w:lang w:eastAsia="en-GB"/>
              </w:rPr>
            </w:pPr>
          </w:p>
        </w:tc>
      </w:tr>
      <w:tr w:rsidR="005B6106" w:rsidRPr="007D0DCD" w14:paraId="15FE3228" w14:textId="77777777" w:rsidTr="66E037C6">
        <w:tc>
          <w:tcPr>
            <w:tcW w:w="817" w:type="dxa"/>
            <w:tcBorders>
              <w:top w:val="nil"/>
              <w:left w:val="nil"/>
              <w:bottom w:val="nil"/>
              <w:right w:val="nil"/>
            </w:tcBorders>
          </w:tcPr>
          <w:p w14:paraId="548842CA"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A7718C7" w14:textId="02DC1EFD" w:rsidR="005B6106" w:rsidRPr="00BA5AF4" w:rsidRDefault="005B6106" w:rsidP="005B6106">
            <w:pPr>
              <w:rPr>
                <w:rFonts w:ascii="Calibri" w:eastAsia="Times New Roman" w:hAnsi="Calibri" w:cs="Arial"/>
                <w:szCs w:val="20"/>
                <w:lang w:eastAsia="en-GB"/>
              </w:rPr>
            </w:pPr>
            <w:r>
              <w:rPr>
                <w:rFonts w:ascii="Calibri" w:eastAsia="Times New Roman" w:hAnsi="Calibri" w:cs="Arial"/>
                <w:szCs w:val="20"/>
                <w:lang w:eastAsia="en-GB"/>
              </w:rPr>
              <w:t xml:space="preserve">All managers have been consulted on this policy. </w:t>
            </w:r>
          </w:p>
        </w:tc>
      </w:tr>
      <w:tr w:rsidR="005B6106" w:rsidRPr="007D0DCD" w14:paraId="23F87246" w14:textId="77777777" w:rsidTr="66E037C6">
        <w:tc>
          <w:tcPr>
            <w:tcW w:w="817" w:type="dxa"/>
            <w:tcBorders>
              <w:top w:val="nil"/>
              <w:left w:val="nil"/>
              <w:bottom w:val="nil"/>
              <w:right w:val="nil"/>
            </w:tcBorders>
          </w:tcPr>
          <w:p w14:paraId="07AF8BC8"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749219E6" w14:textId="77777777" w:rsidR="005B6106" w:rsidRPr="00BA5AF4" w:rsidRDefault="005B6106" w:rsidP="005B6106">
            <w:pPr>
              <w:rPr>
                <w:rFonts w:ascii="Calibri" w:eastAsia="Times New Roman" w:hAnsi="Calibri" w:cs="Arial"/>
                <w:szCs w:val="20"/>
                <w:lang w:eastAsia="en-GB"/>
              </w:rPr>
            </w:pPr>
          </w:p>
        </w:tc>
      </w:tr>
      <w:tr w:rsidR="005B6106" w:rsidRPr="007D0DCD" w14:paraId="5791F3CB" w14:textId="77777777" w:rsidTr="66E037C6">
        <w:trPr>
          <w:trHeight w:hRule="exact" w:val="284"/>
        </w:trPr>
        <w:tc>
          <w:tcPr>
            <w:tcW w:w="817" w:type="dxa"/>
            <w:tcBorders>
              <w:top w:val="nil"/>
              <w:left w:val="nil"/>
              <w:bottom w:val="nil"/>
              <w:right w:val="nil"/>
            </w:tcBorders>
          </w:tcPr>
          <w:p w14:paraId="02A79FCB" w14:textId="77777777" w:rsidR="005B6106" w:rsidRPr="00E82464" w:rsidRDefault="005B6106" w:rsidP="005B6106">
            <w:pPr>
              <w:pStyle w:val="ListParagraph"/>
              <w:numPr>
                <w:ilvl w:val="0"/>
                <w:numId w:val="5"/>
              </w:numPr>
              <w:rPr>
                <w:rFonts w:eastAsia="Times New Roman" w:cs="Arial"/>
                <w:szCs w:val="20"/>
                <w:lang w:eastAsia="en-GB"/>
              </w:rPr>
            </w:pPr>
          </w:p>
        </w:tc>
        <w:tc>
          <w:tcPr>
            <w:tcW w:w="8816" w:type="dxa"/>
            <w:tcBorders>
              <w:top w:val="nil"/>
              <w:left w:val="nil"/>
              <w:bottom w:val="nil"/>
              <w:right w:val="nil"/>
            </w:tcBorders>
          </w:tcPr>
          <w:p w14:paraId="73A9E3B8" w14:textId="674B54B0" w:rsidR="005B6106" w:rsidRPr="00601BEC" w:rsidRDefault="005B6106" w:rsidP="005B6106">
            <w:pPr>
              <w:pStyle w:val="Heading1"/>
              <w:rPr>
                <w:rFonts w:eastAsia="Cambria"/>
                <w:szCs w:val="24"/>
                <w:lang w:val="en-US"/>
              </w:rPr>
            </w:pPr>
            <w:bookmarkStart w:id="19" w:name="_Toc116910377"/>
            <w:r w:rsidRPr="00C305C0">
              <w:rPr>
                <w:lang w:val="en-US"/>
              </w:rPr>
              <w:t>REVIEW</w:t>
            </w:r>
            <w:bookmarkEnd w:id="19"/>
            <w:r w:rsidRPr="00C305C0">
              <w:rPr>
                <w:lang w:val="en-US"/>
              </w:rPr>
              <w:t xml:space="preserve">  </w:t>
            </w:r>
          </w:p>
        </w:tc>
      </w:tr>
      <w:tr w:rsidR="005B6106" w:rsidRPr="007D0DCD" w14:paraId="54F327F0" w14:textId="77777777" w:rsidTr="66E037C6">
        <w:tc>
          <w:tcPr>
            <w:tcW w:w="817" w:type="dxa"/>
            <w:tcBorders>
              <w:top w:val="nil"/>
              <w:left w:val="nil"/>
              <w:bottom w:val="nil"/>
              <w:right w:val="nil"/>
            </w:tcBorders>
          </w:tcPr>
          <w:p w14:paraId="15429D86"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37A1CAF0" w14:textId="61218FD9" w:rsidR="005B6106" w:rsidRPr="00E905ED" w:rsidRDefault="005B6106" w:rsidP="005B6106">
            <w:pPr>
              <w:rPr>
                <w:i/>
                <w:iCs/>
                <w:color w:val="A6A6A6" w:themeColor="background1" w:themeShade="A6"/>
                <w:lang w:val="en-US"/>
              </w:rPr>
            </w:pPr>
          </w:p>
        </w:tc>
      </w:tr>
      <w:tr w:rsidR="005B6106" w:rsidRPr="007D0DCD" w14:paraId="797154B9" w14:textId="77777777" w:rsidTr="66E037C6">
        <w:tc>
          <w:tcPr>
            <w:tcW w:w="817" w:type="dxa"/>
            <w:tcBorders>
              <w:top w:val="nil"/>
              <w:left w:val="nil"/>
              <w:bottom w:val="nil"/>
              <w:right w:val="nil"/>
            </w:tcBorders>
          </w:tcPr>
          <w:p w14:paraId="0F4FF85C"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09F7908E" w14:textId="19BD5D19" w:rsidR="005B6106" w:rsidRPr="00BA5AF4" w:rsidRDefault="005B6106" w:rsidP="005B6106">
            <w:pPr>
              <w:rPr>
                <w:rFonts w:ascii="Calibri" w:eastAsia="Times New Roman" w:hAnsi="Calibri" w:cs="Arial"/>
                <w:szCs w:val="20"/>
                <w:lang w:eastAsia="en-GB"/>
              </w:rPr>
            </w:pPr>
            <w:r w:rsidRPr="00CD0287">
              <w:t>T</w:t>
            </w:r>
            <w:r>
              <w:t xml:space="preserve">his Policy will be reviewed every three years (from the date it is approved) </w:t>
            </w:r>
            <w:r w:rsidR="00D2343D">
              <w:t xml:space="preserve">and approved </w:t>
            </w:r>
            <w:r>
              <w:t>by the Executive Management Team (EMT).</w:t>
            </w:r>
          </w:p>
        </w:tc>
      </w:tr>
      <w:tr w:rsidR="005B6106" w:rsidRPr="007D0DCD" w14:paraId="3824091C" w14:textId="77777777" w:rsidTr="66E037C6">
        <w:tc>
          <w:tcPr>
            <w:tcW w:w="817" w:type="dxa"/>
            <w:tcBorders>
              <w:top w:val="nil"/>
              <w:left w:val="nil"/>
              <w:bottom w:val="nil"/>
              <w:right w:val="nil"/>
            </w:tcBorders>
          </w:tcPr>
          <w:p w14:paraId="67F81598"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336155C4" w14:textId="77777777" w:rsidR="005B6106" w:rsidRPr="00BA5AF4" w:rsidRDefault="005B6106" w:rsidP="005B6106">
            <w:pPr>
              <w:rPr>
                <w:rFonts w:ascii="Calibri" w:eastAsia="Times New Roman" w:hAnsi="Calibri" w:cs="Arial"/>
                <w:szCs w:val="20"/>
                <w:lang w:eastAsia="en-GB"/>
              </w:rPr>
            </w:pPr>
          </w:p>
        </w:tc>
      </w:tr>
      <w:tr w:rsidR="005B6106" w:rsidRPr="007D0DCD" w14:paraId="6E1B1455" w14:textId="77777777" w:rsidTr="66E037C6">
        <w:tc>
          <w:tcPr>
            <w:tcW w:w="817" w:type="dxa"/>
            <w:tcBorders>
              <w:top w:val="nil"/>
              <w:left w:val="nil"/>
              <w:bottom w:val="nil"/>
              <w:right w:val="nil"/>
            </w:tcBorders>
          </w:tcPr>
          <w:p w14:paraId="34EC87FE" w14:textId="77777777" w:rsidR="005B6106" w:rsidRPr="00E82464" w:rsidRDefault="005B6106" w:rsidP="005B6106">
            <w:pPr>
              <w:pStyle w:val="ListParagraph"/>
              <w:numPr>
                <w:ilvl w:val="1"/>
                <w:numId w:val="5"/>
              </w:numPr>
              <w:rPr>
                <w:rFonts w:eastAsia="Times New Roman" w:cs="Arial"/>
                <w:szCs w:val="20"/>
                <w:lang w:eastAsia="en-GB"/>
              </w:rPr>
            </w:pPr>
          </w:p>
        </w:tc>
        <w:tc>
          <w:tcPr>
            <w:tcW w:w="8816" w:type="dxa"/>
            <w:tcBorders>
              <w:top w:val="nil"/>
              <w:left w:val="nil"/>
              <w:bottom w:val="nil"/>
              <w:right w:val="nil"/>
            </w:tcBorders>
          </w:tcPr>
          <w:p w14:paraId="7129DD48" w14:textId="7E70C60F" w:rsidR="005B6106" w:rsidRPr="00BA5AF4" w:rsidRDefault="005B6106" w:rsidP="005B6106">
            <w:pPr>
              <w:rPr>
                <w:rFonts w:ascii="Calibri" w:eastAsia="Times New Roman" w:hAnsi="Calibri" w:cs="Arial"/>
                <w:szCs w:val="20"/>
                <w:lang w:eastAsia="en-GB"/>
              </w:rPr>
            </w:pPr>
            <w:r>
              <w:t>The Policy may also be reviewed as required by the introduction of new legislation or regulation.</w:t>
            </w:r>
          </w:p>
        </w:tc>
      </w:tr>
      <w:tr w:rsidR="005B6106" w:rsidRPr="007D0DCD" w14:paraId="25693375" w14:textId="77777777" w:rsidTr="66E037C6">
        <w:tc>
          <w:tcPr>
            <w:tcW w:w="817" w:type="dxa"/>
            <w:tcBorders>
              <w:top w:val="nil"/>
              <w:left w:val="nil"/>
              <w:bottom w:val="nil"/>
              <w:right w:val="nil"/>
            </w:tcBorders>
          </w:tcPr>
          <w:p w14:paraId="4B92EAC5"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5E9C3933" w14:textId="77777777" w:rsidR="005B6106" w:rsidRDefault="005B6106" w:rsidP="005B6106">
            <w:pPr>
              <w:rPr>
                <w:rFonts w:ascii="Calibri" w:eastAsia="Times New Roman" w:hAnsi="Calibri" w:cs="Arial"/>
                <w:szCs w:val="20"/>
                <w:lang w:eastAsia="en-GB"/>
              </w:rPr>
            </w:pPr>
          </w:p>
          <w:p w14:paraId="5E4558B6" w14:textId="77777777" w:rsidR="00985CD0" w:rsidRPr="00BA5AF4" w:rsidRDefault="00985CD0" w:rsidP="005B6106">
            <w:pPr>
              <w:rPr>
                <w:rFonts w:ascii="Calibri" w:eastAsia="Times New Roman" w:hAnsi="Calibri" w:cs="Arial"/>
                <w:szCs w:val="20"/>
                <w:lang w:eastAsia="en-GB"/>
              </w:rPr>
            </w:pPr>
          </w:p>
        </w:tc>
      </w:tr>
      <w:tr w:rsidR="005B6106" w:rsidRPr="007D0DCD" w14:paraId="755EF97B" w14:textId="77777777" w:rsidTr="66E037C6">
        <w:tc>
          <w:tcPr>
            <w:tcW w:w="817" w:type="dxa"/>
            <w:tcBorders>
              <w:top w:val="nil"/>
              <w:left w:val="nil"/>
              <w:bottom w:val="nil"/>
              <w:right w:val="nil"/>
            </w:tcBorders>
          </w:tcPr>
          <w:p w14:paraId="214815CE"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65793123" w14:textId="433D3F69" w:rsidR="005B6106" w:rsidRPr="000D655A" w:rsidRDefault="005B6106" w:rsidP="005B6106">
            <w:pPr>
              <w:pStyle w:val="Heading1"/>
              <w:rPr>
                <w:rFonts w:cs="Arial"/>
                <w:szCs w:val="20"/>
                <w:lang w:eastAsia="en-GB"/>
              </w:rPr>
            </w:pPr>
            <w:bookmarkStart w:id="20" w:name="_Toc116910378"/>
            <w:r w:rsidRPr="000D655A">
              <w:t>ASSOCIATED DOCUMENTS</w:t>
            </w:r>
            <w:bookmarkEnd w:id="20"/>
          </w:p>
        </w:tc>
      </w:tr>
      <w:tr w:rsidR="005B6106" w:rsidRPr="007D0DCD" w14:paraId="05904695" w14:textId="77777777" w:rsidTr="66E037C6">
        <w:tc>
          <w:tcPr>
            <w:tcW w:w="817" w:type="dxa"/>
            <w:tcBorders>
              <w:top w:val="nil"/>
              <w:left w:val="nil"/>
              <w:bottom w:val="nil"/>
              <w:right w:val="nil"/>
            </w:tcBorders>
          </w:tcPr>
          <w:p w14:paraId="0DB3FD50" w14:textId="77777777" w:rsidR="005B6106" w:rsidRPr="000D655A" w:rsidRDefault="005B6106" w:rsidP="005B6106">
            <w:pPr>
              <w:rPr>
                <w:rFonts w:eastAsia="Times New Roman" w:cs="Arial"/>
                <w:szCs w:val="20"/>
                <w:lang w:eastAsia="en-GB"/>
              </w:rPr>
            </w:pPr>
          </w:p>
        </w:tc>
        <w:tc>
          <w:tcPr>
            <w:tcW w:w="8816" w:type="dxa"/>
            <w:tcBorders>
              <w:top w:val="nil"/>
              <w:left w:val="nil"/>
              <w:bottom w:val="nil"/>
              <w:right w:val="nil"/>
            </w:tcBorders>
          </w:tcPr>
          <w:p w14:paraId="5465E329" w14:textId="77777777" w:rsidR="005B6106" w:rsidRPr="00B0451C" w:rsidRDefault="005B6106" w:rsidP="005B6106">
            <w:pPr>
              <w:pStyle w:val="ListBullet1"/>
              <w:rPr>
                <w:rFonts w:eastAsia="Times New Roman" w:cs="Arial"/>
                <w:lang w:eastAsia="en-GB"/>
              </w:rPr>
            </w:pPr>
            <w:r>
              <w:t>Local Lettings Policy</w:t>
            </w:r>
          </w:p>
          <w:p w14:paraId="63C8731C" w14:textId="77777777" w:rsidR="005B6106" w:rsidRPr="00CD0287" w:rsidRDefault="005B6106" w:rsidP="005B6106">
            <w:pPr>
              <w:pStyle w:val="ListBullet1"/>
              <w:rPr>
                <w:rFonts w:eastAsia="Times New Roman" w:cs="Arial"/>
                <w:lang w:eastAsia="en-GB"/>
              </w:rPr>
            </w:pPr>
            <w:r>
              <w:t>Tenancy Policy</w:t>
            </w:r>
          </w:p>
          <w:p w14:paraId="54282155" w14:textId="3B084A98" w:rsidR="00CD0287" w:rsidRPr="00B0451C" w:rsidRDefault="00CD0287" w:rsidP="005B6106">
            <w:pPr>
              <w:pStyle w:val="ListBullet1"/>
              <w:rPr>
                <w:rFonts w:eastAsia="Times New Roman" w:cs="Arial"/>
                <w:lang w:eastAsia="en-GB"/>
              </w:rPr>
            </w:pPr>
            <w:r>
              <w:t>Data Protection Policy</w:t>
            </w:r>
          </w:p>
          <w:p w14:paraId="1BF4E37F" w14:textId="77777777" w:rsidR="005B6106" w:rsidRPr="00B0451C" w:rsidRDefault="005B6106" w:rsidP="005B6106">
            <w:pPr>
              <w:pStyle w:val="ListBullet1"/>
              <w:rPr>
                <w:rFonts w:eastAsia="Times New Roman" w:cs="Arial"/>
                <w:lang w:eastAsia="en-GB"/>
              </w:rPr>
            </w:pPr>
            <w:r>
              <w:t>Transfer Policy</w:t>
            </w:r>
          </w:p>
          <w:p w14:paraId="4B97712D" w14:textId="6BCD51F8" w:rsidR="005B6106" w:rsidRDefault="005B6106" w:rsidP="005B6106">
            <w:pPr>
              <w:pStyle w:val="ListBullet1"/>
              <w:rPr>
                <w:rFonts w:eastAsia="Times New Roman" w:cs="Arial"/>
                <w:lang w:eastAsia="en-GB"/>
              </w:rPr>
            </w:pPr>
            <w:r w:rsidRPr="00652C26">
              <w:rPr>
                <w:rFonts w:eastAsia="Times New Roman" w:cs="Arial"/>
                <w:lang w:eastAsia="en-GB"/>
              </w:rPr>
              <w:t>Allocations P</w:t>
            </w:r>
            <w:r>
              <w:rPr>
                <w:rFonts w:eastAsia="Times New Roman" w:cs="Arial"/>
                <w:lang w:eastAsia="en-GB"/>
              </w:rPr>
              <w:t>olicy</w:t>
            </w:r>
          </w:p>
          <w:p w14:paraId="0BDD9F45" w14:textId="77777777" w:rsidR="005B6106" w:rsidRDefault="005B6106" w:rsidP="005B6106">
            <w:pPr>
              <w:pStyle w:val="ListBullet1"/>
              <w:rPr>
                <w:rFonts w:eastAsia="Times New Roman" w:cs="Arial"/>
                <w:lang w:eastAsia="en-GB"/>
              </w:rPr>
            </w:pPr>
            <w:r>
              <w:rPr>
                <w:rFonts w:eastAsia="Times New Roman" w:cs="Arial"/>
                <w:lang w:eastAsia="en-GB"/>
              </w:rPr>
              <w:t>Decant Procedure</w:t>
            </w:r>
          </w:p>
          <w:p w14:paraId="5033DE53" w14:textId="77777777" w:rsidR="005B6106" w:rsidRDefault="005B6106" w:rsidP="005B6106">
            <w:pPr>
              <w:pStyle w:val="ListBullet1"/>
              <w:rPr>
                <w:rFonts w:eastAsia="Times New Roman" w:cs="Arial"/>
                <w:lang w:eastAsia="en-GB"/>
              </w:rPr>
            </w:pPr>
            <w:r>
              <w:rPr>
                <w:rFonts w:eastAsia="Times New Roman" w:cs="Arial"/>
                <w:lang w:eastAsia="en-GB"/>
              </w:rPr>
              <w:t>Complaints Policy</w:t>
            </w:r>
          </w:p>
          <w:p w14:paraId="70E50232" w14:textId="77777777" w:rsidR="005B6106" w:rsidRDefault="005B6106" w:rsidP="005B6106">
            <w:pPr>
              <w:pStyle w:val="ListBullet1"/>
              <w:rPr>
                <w:rFonts w:eastAsia="Times New Roman" w:cs="Arial"/>
                <w:lang w:eastAsia="en-GB"/>
              </w:rPr>
            </w:pPr>
            <w:r w:rsidRPr="25B1ECA4">
              <w:rPr>
                <w:rFonts w:eastAsia="Times New Roman" w:cs="Arial"/>
                <w:lang w:eastAsia="en-GB"/>
              </w:rPr>
              <w:t>Reasonable Adjustments Policy</w:t>
            </w:r>
          </w:p>
          <w:p w14:paraId="1C923586" w14:textId="77777777" w:rsidR="005B6106" w:rsidRDefault="005B6106" w:rsidP="005B6106">
            <w:pPr>
              <w:pStyle w:val="ListBullet1"/>
              <w:rPr>
                <w:rFonts w:eastAsia="Times New Roman" w:cs="Arial"/>
                <w:lang w:eastAsia="en-GB"/>
              </w:rPr>
            </w:pPr>
            <w:r w:rsidRPr="25B1ECA4">
              <w:rPr>
                <w:rFonts w:eastAsia="Times New Roman" w:cs="Arial"/>
                <w:lang w:eastAsia="en-GB"/>
              </w:rPr>
              <w:t>Vulnerable Customers Policy</w:t>
            </w:r>
          </w:p>
          <w:p w14:paraId="5AA31C17" w14:textId="3A14FBA4" w:rsidR="00AC58C1" w:rsidRDefault="00AC58C1" w:rsidP="005B6106">
            <w:pPr>
              <w:pStyle w:val="ListBullet1"/>
              <w:rPr>
                <w:rFonts w:eastAsia="Times New Roman" w:cs="Arial"/>
                <w:lang w:eastAsia="en-GB"/>
              </w:rPr>
            </w:pPr>
            <w:r>
              <w:rPr>
                <w:rFonts w:eastAsia="Times New Roman" w:cs="Arial"/>
                <w:lang w:eastAsia="en-GB"/>
              </w:rPr>
              <w:t>Tenancy Fraud Policy</w:t>
            </w:r>
          </w:p>
          <w:p w14:paraId="62132D65" w14:textId="77777777" w:rsidR="00AC58C1" w:rsidRDefault="00AC58C1" w:rsidP="00AC58C1">
            <w:pPr>
              <w:pStyle w:val="ListBullet1"/>
              <w:numPr>
                <w:ilvl w:val="0"/>
                <w:numId w:val="0"/>
              </w:numPr>
              <w:ind w:left="720"/>
              <w:rPr>
                <w:rFonts w:eastAsia="Times New Roman" w:cs="Arial"/>
                <w:lang w:eastAsia="en-GB"/>
              </w:rPr>
            </w:pPr>
          </w:p>
          <w:p w14:paraId="4D09A1C8" w14:textId="010A5BF9" w:rsidR="005B6106" w:rsidRPr="007B06DD" w:rsidRDefault="005B6106" w:rsidP="005B6106">
            <w:pPr>
              <w:rPr>
                <w:i/>
                <w:iCs/>
                <w:color w:val="A6A6A6" w:themeColor="background1" w:themeShade="A6"/>
                <w:lang w:val="en-US"/>
              </w:rPr>
            </w:pPr>
          </w:p>
        </w:tc>
      </w:tr>
      <w:tr w:rsidR="00DF5810" w14:paraId="281CF1F5" w14:textId="77777777" w:rsidTr="66E03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030036F" w14:textId="77777777" w:rsidR="005B6106" w:rsidRPr="007D0DCD" w:rsidRDefault="005B6106" w:rsidP="005B6106">
            <w:pPr>
              <w:rPr>
                <w:rFonts w:ascii="Calibri" w:eastAsia="Times New Roman" w:hAnsi="Calibri" w:cs="Arial"/>
                <w:szCs w:val="20"/>
                <w:lang w:eastAsia="en-GB"/>
              </w:rPr>
            </w:pPr>
            <w:bookmarkStart w:id="21" w:name="_Toc476208633"/>
            <w:bookmarkEnd w:id="21"/>
          </w:p>
        </w:tc>
        <w:tc>
          <w:tcPr>
            <w:tcW w:w="8816" w:type="dxa"/>
          </w:tcPr>
          <w:p w14:paraId="5D009290" w14:textId="77777777" w:rsidR="005B6106" w:rsidRPr="007D0DCD" w:rsidRDefault="005B6106" w:rsidP="005B6106">
            <w:pPr>
              <w:rPr>
                <w:rFonts w:ascii="Calibri" w:eastAsia="Times New Roman" w:hAnsi="Calibri" w:cs="Arial"/>
                <w:szCs w:val="20"/>
                <w:lang w:eastAsia="en-GB"/>
              </w:rPr>
            </w:pPr>
          </w:p>
        </w:tc>
      </w:tr>
      <w:bookmarkEnd w:id="2"/>
    </w:tbl>
    <w:p w14:paraId="7410CBB9" w14:textId="77777777" w:rsidR="0093600A" w:rsidRDefault="0093600A"/>
    <w:p w14:paraId="436469E0" w14:textId="77777777" w:rsidR="00532B4E" w:rsidRPr="002A1DD3" w:rsidRDefault="00532B4E" w:rsidP="003C1B99">
      <w:pPr>
        <w:pStyle w:val="Heading1"/>
      </w:pPr>
      <w:bookmarkStart w:id="22" w:name="_Toc116910379"/>
      <w:r w:rsidRPr="002A1DD3">
        <w:t>POLICY INFORMATION</w:t>
      </w:r>
      <w:bookmarkEnd w:id="3"/>
      <w:bookmarkEnd w:id="4"/>
      <w:bookmarkEnd w:id="22"/>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28D5F60A" w14:textId="77777777" w:rsidTr="00437DBE">
        <w:tc>
          <w:tcPr>
            <w:tcW w:w="2932" w:type="dxa"/>
            <w:tcBorders>
              <w:top w:val="single" w:sz="12" w:space="0" w:color="auto"/>
              <w:left w:val="single" w:sz="12" w:space="0" w:color="auto"/>
              <w:bottom w:val="single" w:sz="6" w:space="0" w:color="auto"/>
              <w:right w:val="single" w:sz="6" w:space="0" w:color="auto"/>
            </w:tcBorders>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3E324035" w14:textId="581FB612" w:rsidR="001F4C11" w:rsidRPr="007D0DCD" w:rsidRDefault="00C9521D" w:rsidP="001F4C11">
            <w:pPr>
              <w:spacing w:before="120" w:after="120"/>
              <w:rPr>
                <w:rFonts w:ascii="Calibri" w:eastAsia="Times New Roman" w:hAnsi="Calibri" w:cs="Arial"/>
                <w:lang w:eastAsia="en-GB"/>
              </w:rPr>
            </w:pPr>
            <w:r w:rsidRPr="00C9521D">
              <w:rPr>
                <w:rFonts w:eastAsia="Times New Roman" w:cs="Arial"/>
                <w:lang w:eastAsia="en-GB"/>
              </w:rPr>
              <w:t>Mutual Exchange, Assignment and Succession Policy</w:t>
            </w:r>
          </w:p>
        </w:tc>
      </w:tr>
      <w:tr w:rsidR="001F4C11" w:rsidRPr="007D0DCD" w14:paraId="010A2A18" w14:textId="77777777" w:rsidTr="00437DBE">
        <w:tc>
          <w:tcPr>
            <w:tcW w:w="2932" w:type="dxa"/>
            <w:tcBorders>
              <w:top w:val="single" w:sz="6" w:space="0" w:color="auto"/>
              <w:left w:val="single" w:sz="12" w:space="0" w:color="auto"/>
              <w:bottom w:val="single" w:sz="6" w:space="0" w:color="auto"/>
              <w:right w:val="single" w:sz="6" w:space="0" w:color="auto"/>
            </w:tcBorders>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FB1BF72" w14:textId="736DE515" w:rsidR="001F4C11" w:rsidRPr="00FA1DEC" w:rsidRDefault="00C9521D" w:rsidP="001F4C11">
            <w:pPr>
              <w:spacing w:before="120" w:after="120"/>
              <w:rPr>
                <w:rFonts w:ascii="Calibri" w:eastAsia="Times New Roman" w:hAnsi="Calibri" w:cs="Arial"/>
                <w:color w:val="4F6228" w:themeColor="accent3" w:themeShade="80"/>
                <w:lang w:eastAsia="en-GB"/>
              </w:rPr>
            </w:pPr>
            <w:r w:rsidRPr="00FA1DEC">
              <w:rPr>
                <w:rFonts w:ascii="Calibri" w:eastAsia="Times New Roman" w:hAnsi="Calibri" w:cs="Arial"/>
                <w:color w:val="4F6228" w:themeColor="accent3" w:themeShade="80"/>
                <w:lang w:eastAsia="en-GB"/>
              </w:rPr>
              <w:t>Final</w:t>
            </w:r>
            <w:r w:rsidR="00FA1DEC" w:rsidRPr="00FA1DEC">
              <w:rPr>
                <w:rFonts w:ascii="Calibri" w:eastAsia="Times New Roman" w:hAnsi="Calibri" w:cs="Arial"/>
                <w:color w:val="4F6228" w:themeColor="accent3" w:themeShade="80"/>
                <w:lang w:eastAsia="en-GB"/>
              </w:rPr>
              <w:t>/Approved</w:t>
            </w:r>
          </w:p>
        </w:tc>
      </w:tr>
      <w:tr w:rsidR="001F4C11" w:rsidRPr="007D0DCD" w14:paraId="5B6EBDCD" w14:textId="77777777" w:rsidTr="00437DBE">
        <w:tc>
          <w:tcPr>
            <w:tcW w:w="2932" w:type="dxa"/>
            <w:tcBorders>
              <w:top w:val="single" w:sz="6" w:space="0" w:color="auto"/>
              <w:left w:val="single" w:sz="12" w:space="0" w:color="auto"/>
              <w:bottom w:val="single" w:sz="6" w:space="0" w:color="auto"/>
              <w:right w:val="single" w:sz="6" w:space="0" w:color="auto"/>
            </w:tcBorders>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05BA6985" w14:textId="5539CAFF" w:rsidR="001F4C11" w:rsidRPr="007D0DCD" w:rsidRDefault="00FA1DEC" w:rsidP="00DE372B">
            <w:pPr>
              <w:spacing w:before="120" w:after="120"/>
              <w:jc w:val="left"/>
              <w:rPr>
                <w:rFonts w:ascii="Calibri" w:eastAsia="Times New Roman" w:hAnsi="Calibri" w:cs="Arial"/>
                <w:lang w:eastAsia="en-GB"/>
              </w:rPr>
            </w:pPr>
            <w:r w:rsidRPr="00FA1DEC">
              <w:rPr>
                <w:rFonts w:ascii="Calibri" w:eastAsia="Times New Roman" w:hAnsi="Calibri" w:cs="Arial"/>
                <w:color w:val="4F6228" w:themeColor="accent3" w:themeShade="80"/>
                <w:lang w:eastAsia="en-GB"/>
              </w:rPr>
              <w:t>Executive Management Team</w:t>
            </w:r>
          </w:p>
        </w:tc>
      </w:tr>
      <w:tr w:rsidR="001F4C11" w:rsidRPr="007D0DCD" w14:paraId="7C311D3B" w14:textId="77777777" w:rsidTr="00437DBE">
        <w:tc>
          <w:tcPr>
            <w:tcW w:w="2932" w:type="dxa"/>
            <w:tcBorders>
              <w:top w:val="single" w:sz="6" w:space="0" w:color="auto"/>
              <w:left w:val="single" w:sz="12" w:space="0" w:color="auto"/>
              <w:bottom w:val="single" w:sz="6" w:space="0" w:color="auto"/>
              <w:right w:val="single" w:sz="6" w:space="0" w:color="auto"/>
            </w:tcBorders>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0005DE63" w14:textId="04C2392A" w:rsidR="001F4C11" w:rsidRPr="007D0DCD" w:rsidRDefault="00C9521D" w:rsidP="001F4C11">
            <w:pPr>
              <w:spacing w:before="120" w:after="120"/>
              <w:rPr>
                <w:rFonts w:ascii="Calibri" w:eastAsia="Times New Roman" w:hAnsi="Calibri" w:cs="Arial"/>
                <w:lang w:eastAsia="en-GB"/>
              </w:rPr>
            </w:pPr>
            <w:r w:rsidRPr="00C9521D">
              <w:rPr>
                <w:rFonts w:ascii="Calibri" w:eastAsia="Times New Roman" w:hAnsi="Calibri" w:cs="Arial"/>
                <w:lang w:eastAsia="en-GB"/>
              </w:rPr>
              <w:t>Steffanie Goalen – Head of Neighbourhoods</w:t>
            </w:r>
          </w:p>
        </w:tc>
      </w:tr>
      <w:tr w:rsidR="001F4C11" w:rsidRPr="007D0DCD" w14:paraId="76FA179C" w14:textId="77777777" w:rsidTr="00437DBE">
        <w:tc>
          <w:tcPr>
            <w:tcW w:w="2932" w:type="dxa"/>
            <w:tcBorders>
              <w:top w:val="single" w:sz="6" w:space="0" w:color="auto"/>
              <w:left w:val="single" w:sz="12" w:space="0" w:color="auto"/>
              <w:bottom w:val="single" w:sz="6" w:space="0" w:color="auto"/>
              <w:right w:val="single" w:sz="6" w:space="0" w:color="auto"/>
            </w:tcBorders>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15F1C408" w14:textId="2CA6627C" w:rsidR="001F4C11" w:rsidRPr="007D0DCD" w:rsidRDefault="00FA1DEC" w:rsidP="001F4C11">
            <w:pPr>
              <w:spacing w:before="120" w:after="120"/>
              <w:rPr>
                <w:rFonts w:ascii="Calibri" w:eastAsia="Times New Roman" w:hAnsi="Calibri" w:cs="Arial"/>
                <w:lang w:eastAsia="en-GB"/>
              </w:rPr>
            </w:pPr>
            <w:r w:rsidRPr="00FA1DEC">
              <w:rPr>
                <w:rFonts w:ascii="Calibri" w:eastAsia="Times New Roman" w:hAnsi="Calibri" w:cs="Arial"/>
                <w:color w:val="4F6228" w:themeColor="accent3" w:themeShade="80"/>
                <w:lang w:eastAsia="en-GB"/>
              </w:rPr>
              <w:t>22</w:t>
            </w:r>
            <w:r w:rsidRPr="00FA1DEC">
              <w:rPr>
                <w:rFonts w:ascii="Calibri" w:eastAsia="Times New Roman" w:hAnsi="Calibri" w:cs="Arial"/>
                <w:color w:val="4F6228" w:themeColor="accent3" w:themeShade="80"/>
                <w:vertAlign w:val="superscript"/>
                <w:lang w:eastAsia="en-GB"/>
              </w:rPr>
              <w:t>nd</w:t>
            </w:r>
            <w:r w:rsidRPr="00FA1DEC">
              <w:rPr>
                <w:rFonts w:ascii="Calibri" w:eastAsia="Times New Roman" w:hAnsi="Calibri" w:cs="Arial"/>
                <w:color w:val="4F6228" w:themeColor="accent3" w:themeShade="80"/>
                <w:lang w:eastAsia="en-GB"/>
              </w:rPr>
              <w:t xml:space="preserve"> August 2024</w:t>
            </w:r>
          </w:p>
        </w:tc>
      </w:tr>
      <w:tr w:rsidR="001F4C11" w:rsidRPr="007D0DCD" w14:paraId="28DBB486" w14:textId="77777777" w:rsidTr="00437DBE">
        <w:tc>
          <w:tcPr>
            <w:tcW w:w="2932" w:type="dxa"/>
            <w:tcBorders>
              <w:top w:val="single" w:sz="6" w:space="0" w:color="auto"/>
              <w:left w:val="single" w:sz="12" w:space="0" w:color="auto"/>
              <w:bottom w:val="single" w:sz="6" w:space="0" w:color="auto"/>
              <w:right w:val="single" w:sz="6" w:space="0" w:color="auto"/>
            </w:tcBorders>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1210C82A" w14:textId="12018B5F" w:rsidR="001F4C11" w:rsidRPr="007D0DCD" w:rsidRDefault="00C9521D" w:rsidP="001F4C11">
            <w:pPr>
              <w:spacing w:before="120" w:after="120"/>
              <w:rPr>
                <w:rFonts w:ascii="Calibri" w:eastAsia="Times New Roman" w:hAnsi="Calibri" w:cs="Arial"/>
                <w:lang w:eastAsia="en-GB"/>
              </w:rPr>
            </w:pPr>
            <w:r w:rsidRPr="00C9521D">
              <w:rPr>
                <w:rFonts w:ascii="Calibri" w:eastAsia="Times New Roman" w:hAnsi="Calibri" w:cs="Arial"/>
                <w:lang w:eastAsia="en-GB"/>
              </w:rPr>
              <w:t>August 2027</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19"/>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36EE1" w14:textId="77777777" w:rsidR="007067D9" w:rsidRDefault="007067D9" w:rsidP="009A40E5">
      <w:r>
        <w:separator/>
      </w:r>
    </w:p>
  </w:endnote>
  <w:endnote w:type="continuationSeparator" w:id="0">
    <w:p w14:paraId="0F8B0630" w14:textId="77777777" w:rsidR="007067D9" w:rsidRDefault="007067D9" w:rsidP="009A40E5">
      <w:r>
        <w:continuationSeparator/>
      </w:r>
    </w:p>
  </w:endnote>
  <w:endnote w:type="continuationNotice" w:id="1">
    <w:p w14:paraId="3A63C3D0" w14:textId="77777777" w:rsidR="007067D9" w:rsidRDefault="00706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C400"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E603" w14:textId="77777777" w:rsidR="000B34DB" w:rsidRPr="007D0DCD" w:rsidRDefault="000B34DB" w:rsidP="000F4E87">
    <w:pPr>
      <w:pStyle w:val="Footer"/>
      <w:rPr>
        <w:rFonts w:cs="Arial"/>
      </w:rPr>
    </w:pPr>
    <w:r>
      <w:rPr>
        <w:noProof/>
        <w:color w:val="2B579A"/>
        <w:shd w:val="clear" w:color="auto" w:fill="E6E6E6"/>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2064"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C5F7" w14:textId="77777777" w:rsidR="000B34DB" w:rsidRPr="00E3112F" w:rsidRDefault="000B34DB" w:rsidP="000F4E87">
    <w:pPr>
      <w:pStyle w:val="Footer"/>
      <w:rPr>
        <w:rFonts w:cs="Arial"/>
        <w:sz w:val="28"/>
      </w:rPr>
    </w:pPr>
    <w:r w:rsidRPr="00E3112F">
      <w:rPr>
        <w:noProof/>
        <w:color w:val="2B579A"/>
        <w:sz w:val="28"/>
        <w:shd w:val="clear" w:color="auto" w:fill="E6E6E6"/>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color w:val="2B579A"/>
        <w:sz w:val="18"/>
        <w:szCs w:val="16"/>
        <w:shd w:val="clear" w:color="auto" w:fill="E6E6E6"/>
      </w:rPr>
      <w:fldChar w:fldCharType="begin"/>
    </w:r>
    <w:r w:rsidRPr="00E3112F">
      <w:rPr>
        <w:rFonts w:cs="Arial"/>
        <w:sz w:val="18"/>
        <w:szCs w:val="16"/>
      </w:rPr>
      <w:instrText xml:space="preserve"> PAGE </w:instrText>
    </w:r>
    <w:r w:rsidRPr="00E3112F">
      <w:rPr>
        <w:rFonts w:cs="Arial"/>
        <w:color w:val="2B579A"/>
        <w:sz w:val="18"/>
        <w:szCs w:val="16"/>
        <w:shd w:val="clear" w:color="auto" w:fill="E6E6E6"/>
      </w:rPr>
      <w:fldChar w:fldCharType="separate"/>
    </w:r>
    <w:r w:rsidR="00DD6A8A">
      <w:rPr>
        <w:rFonts w:cs="Arial"/>
        <w:noProof/>
        <w:sz w:val="18"/>
        <w:szCs w:val="16"/>
      </w:rPr>
      <w:t>1</w:t>
    </w:r>
    <w:r w:rsidRPr="00E3112F">
      <w:rPr>
        <w:rFonts w:cs="Arial"/>
        <w:color w:val="2B579A"/>
        <w:sz w:val="18"/>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E4F67" w14:textId="77777777" w:rsidR="007067D9" w:rsidRDefault="007067D9" w:rsidP="009A40E5">
      <w:r>
        <w:separator/>
      </w:r>
    </w:p>
  </w:footnote>
  <w:footnote w:type="continuationSeparator" w:id="0">
    <w:p w14:paraId="4B257CCA" w14:textId="77777777" w:rsidR="007067D9" w:rsidRDefault="007067D9" w:rsidP="009A40E5">
      <w:r>
        <w:continuationSeparator/>
      </w:r>
    </w:p>
  </w:footnote>
  <w:footnote w:type="continuationNotice" w:id="1">
    <w:p w14:paraId="137919AF" w14:textId="77777777" w:rsidR="007067D9" w:rsidRDefault="00706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6865" w14:textId="77777777" w:rsidR="000B34DB" w:rsidRDefault="000B34DB">
    <w:pPr>
      <w:pStyle w:val="Header"/>
    </w:pPr>
  </w:p>
  <w:p w14:paraId="2715DA1D"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642A"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A3BC"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3123"/>
    <w:multiLevelType w:val="hybridMultilevel"/>
    <w:tmpl w:val="7E3A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C0C22"/>
    <w:multiLevelType w:val="hybridMultilevel"/>
    <w:tmpl w:val="623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D7673"/>
    <w:multiLevelType w:val="hybridMultilevel"/>
    <w:tmpl w:val="B906A0FE"/>
    <w:lvl w:ilvl="0" w:tplc="AC82627A">
      <w:start w:val="1"/>
      <w:numFmt w:val="bullet"/>
      <w:pStyle w:val="Lis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87AD0"/>
    <w:multiLevelType w:val="hybridMultilevel"/>
    <w:tmpl w:val="88E0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A1744"/>
    <w:multiLevelType w:val="hybridMultilevel"/>
    <w:tmpl w:val="8A46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926E5F"/>
    <w:multiLevelType w:val="hybridMultilevel"/>
    <w:tmpl w:val="048E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5593188">
    <w:abstractNumId w:val="1"/>
  </w:num>
  <w:num w:numId="2" w16cid:durableId="337271752">
    <w:abstractNumId w:val="8"/>
  </w:num>
  <w:num w:numId="3" w16cid:durableId="761604562">
    <w:abstractNumId w:val="22"/>
  </w:num>
  <w:num w:numId="4" w16cid:durableId="1609040054">
    <w:abstractNumId w:val="17"/>
  </w:num>
  <w:num w:numId="5" w16cid:durableId="477308063">
    <w:abstractNumId w:val="25"/>
  </w:num>
  <w:num w:numId="6" w16cid:durableId="1238857130">
    <w:abstractNumId w:val="10"/>
  </w:num>
  <w:num w:numId="7" w16cid:durableId="717825293">
    <w:abstractNumId w:val="15"/>
  </w:num>
  <w:num w:numId="8" w16cid:durableId="1502889149">
    <w:abstractNumId w:val="12"/>
  </w:num>
  <w:num w:numId="9" w16cid:durableId="549076832">
    <w:abstractNumId w:val="23"/>
  </w:num>
  <w:num w:numId="10" w16cid:durableId="157575339">
    <w:abstractNumId w:val="5"/>
  </w:num>
  <w:num w:numId="11" w16cid:durableId="475683491">
    <w:abstractNumId w:val="24"/>
  </w:num>
  <w:num w:numId="12" w16cid:durableId="1399131452">
    <w:abstractNumId w:val="14"/>
  </w:num>
  <w:num w:numId="13" w16cid:durableId="2028558857">
    <w:abstractNumId w:val="13"/>
  </w:num>
  <w:num w:numId="14" w16cid:durableId="198471552">
    <w:abstractNumId w:val="2"/>
  </w:num>
  <w:num w:numId="15" w16cid:durableId="1770347220">
    <w:abstractNumId w:val="0"/>
  </w:num>
  <w:num w:numId="16" w16cid:durableId="1481650486">
    <w:abstractNumId w:val="4"/>
  </w:num>
  <w:num w:numId="17" w16cid:durableId="55856268">
    <w:abstractNumId w:val="11"/>
  </w:num>
  <w:num w:numId="18" w16cid:durableId="1541942543">
    <w:abstractNumId w:val="3"/>
  </w:num>
  <w:num w:numId="19" w16cid:durableId="1939411976">
    <w:abstractNumId w:val="18"/>
  </w:num>
  <w:num w:numId="20" w16cid:durableId="133571694">
    <w:abstractNumId w:val="20"/>
  </w:num>
  <w:num w:numId="21" w16cid:durableId="1183979778">
    <w:abstractNumId w:val="9"/>
  </w:num>
  <w:num w:numId="22" w16cid:durableId="160780700">
    <w:abstractNumId w:val="6"/>
  </w:num>
  <w:num w:numId="23" w16cid:durableId="1591306489">
    <w:abstractNumId w:val="21"/>
  </w:num>
  <w:num w:numId="24" w16cid:durableId="330301804">
    <w:abstractNumId w:val="15"/>
  </w:num>
  <w:num w:numId="25" w16cid:durableId="229733605">
    <w:abstractNumId w:val="19"/>
  </w:num>
  <w:num w:numId="26" w16cid:durableId="1006059385">
    <w:abstractNumId w:val="16"/>
  </w:num>
  <w:num w:numId="27" w16cid:durableId="37231144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5A"/>
    <w:rsid w:val="0000707F"/>
    <w:rsid w:val="000114C6"/>
    <w:rsid w:val="0002426D"/>
    <w:rsid w:val="00024410"/>
    <w:rsid w:val="000308D6"/>
    <w:rsid w:val="0004085F"/>
    <w:rsid w:val="000474D9"/>
    <w:rsid w:val="000539E8"/>
    <w:rsid w:val="00072168"/>
    <w:rsid w:val="00097912"/>
    <w:rsid w:val="000A0CE1"/>
    <w:rsid w:val="000A6E5F"/>
    <w:rsid w:val="000A7DF3"/>
    <w:rsid w:val="000B34DB"/>
    <w:rsid w:val="000B6E39"/>
    <w:rsid w:val="000C4D81"/>
    <w:rsid w:val="000D655A"/>
    <w:rsid w:val="000E3C18"/>
    <w:rsid w:val="000E5234"/>
    <w:rsid w:val="000F1A9F"/>
    <w:rsid w:val="000F4E87"/>
    <w:rsid w:val="000F56E0"/>
    <w:rsid w:val="00111CBA"/>
    <w:rsid w:val="00115862"/>
    <w:rsid w:val="00134578"/>
    <w:rsid w:val="001452B9"/>
    <w:rsid w:val="00146EFA"/>
    <w:rsid w:val="00155BE2"/>
    <w:rsid w:val="001662D8"/>
    <w:rsid w:val="001771D6"/>
    <w:rsid w:val="00192D8C"/>
    <w:rsid w:val="001B0C08"/>
    <w:rsid w:val="001C195E"/>
    <w:rsid w:val="001C6E57"/>
    <w:rsid w:val="001D0B3C"/>
    <w:rsid w:val="001D5A01"/>
    <w:rsid w:val="001F4C11"/>
    <w:rsid w:val="0020122D"/>
    <w:rsid w:val="0020271A"/>
    <w:rsid w:val="00205259"/>
    <w:rsid w:val="00214540"/>
    <w:rsid w:val="00223696"/>
    <w:rsid w:val="002243A0"/>
    <w:rsid w:val="00235F85"/>
    <w:rsid w:val="00246DD9"/>
    <w:rsid w:val="00247C6B"/>
    <w:rsid w:val="002679DC"/>
    <w:rsid w:val="00270213"/>
    <w:rsid w:val="002773A4"/>
    <w:rsid w:val="00277F51"/>
    <w:rsid w:val="002835A6"/>
    <w:rsid w:val="002A1DD3"/>
    <w:rsid w:val="002B50DE"/>
    <w:rsid w:val="002E0196"/>
    <w:rsid w:val="002E392B"/>
    <w:rsid w:val="002E7E6E"/>
    <w:rsid w:val="002F1FBB"/>
    <w:rsid w:val="002F6268"/>
    <w:rsid w:val="00300733"/>
    <w:rsid w:val="00330328"/>
    <w:rsid w:val="00337E22"/>
    <w:rsid w:val="003511F1"/>
    <w:rsid w:val="00356136"/>
    <w:rsid w:val="003604D4"/>
    <w:rsid w:val="00367F23"/>
    <w:rsid w:val="00371543"/>
    <w:rsid w:val="003A3C6A"/>
    <w:rsid w:val="003B24F7"/>
    <w:rsid w:val="003B2DFD"/>
    <w:rsid w:val="003C1B99"/>
    <w:rsid w:val="003D0623"/>
    <w:rsid w:val="003D3BBE"/>
    <w:rsid w:val="003D3FAC"/>
    <w:rsid w:val="003E601A"/>
    <w:rsid w:val="003F0678"/>
    <w:rsid w:val="003F75CD"/>
    <w:rsid w:val="004111A5"/>
    <w:rsid w:val="004122DB"/>
    <w:rsid w:val="0042502D"/>
    <w:rsid w:val="00431319"/>
    <w:rsid w:val="00433AB2"/>
    <w:rsid w:val="00437A68"/>
    <w:rsid w:val="00437DBE"/>
    <w:rsid w:val="00443920"/>
    <w:rsid w:val="00453437"/>
    <w:rsid w:val="00461011"/>
    <w:rsid w:val="00486FD7"/>
    <w:rsid w:val="00494C56"/>
    <w:rsid w:val="00494CEE"/>
    <w:rsid w:val="004C1BC2"/>
    <w:rsid w:val="004C1C3C"/>
    <w:rsid w:val="004C5F4A"/>
    <w:rsid w:val="004C7B80"/>
    <w:rsid w:val="004E5DDF"/>
    <w:rsid w:val="004E6D28"/>
    <w:rsid w:val="004F2CA9"/>
    <w:rsid w:val="00501107"/>
    <w:rsid w:val="00502F76"/>
    <w:rsid w:val="00512F19"/>
    <w:rsid w:val="005157B6"/>
    <w:rsid w:val="005254BF"/>
    <w:rsid w:val="005301B4"/>
    <w:rsid w:val="00532B4E"/>
    <w:rsid w:val="00537B20"/>
    <w:rsid w:val="00541569"/>
    <w:rsid w:val="00544F3E"/>
    <w:rsid w:val="00546652"/>
    <w:rsid w:val="005772C3"/>
    <w:rsid w:val="00583525"/>
    <w:rsid w:val="00586D37"/>
    <w:rsid w:val="00591976"/>
    <w:rsid w:val="00591E9B"/>
    <w:rsid w:val="005927A0"/>
    <w:rsid w:val="00592FEA"/>
    <w:rsid w:val="005A5CFE"/>
    <w:rsid w:val="005B6106"/>
    <w:rsid w:val="005C203B"/>
    <w:rsid w:val="005C61DF"/>
    <w:rsid w:val="005D17FF"/>
    <w:rsid w:val="005D425F"/>
    <w:rsid w:val="005E0F6D"/>
    <w:rsid w:val="005E1C1E"/>
    <w:rsid w:val="005E1EEF"/>
    <w:rsid w:val="005F6A13"/>
    <w:rsid w:val="00601BEC"/>
    <w:rsid w:val="006102EF"/>
    <w:rsid w:val="00620185"/>
    <w:rsid w:val="006404AD"/>
    <w:rsid w:val="00664FA6"/>
    <w:rsid w:val="00671F42"/>
    <w:rsid w:val="00674F29"/>
    <w:rsid w:val="00675C12"/>
    <w:rsid w:val="0069515C"/>
    <w:rsid w:val="006D08A6"/>
    <w:rsid w:val="006D6DBC"/>
    <w:rsid w:val="006F1A8E"/>
    <w:rsid w:val="006F4DDC"/>
    <w:rsid w:val="006F5645"/>
    <w:rsid w:val="007067D9"/>
    <w:rsid w:val="0070727C"/>
    <w:rsid w:val="0072744D"/>
    <w:rsid w:val="007356F0"/>
    <w:rsid w:val="007363CC"/>
    <w:rsid w:val="0075576F"/>
    <w:rsid w:val="0077501C"/>
    <w:rsid w:val="00776501"/>
    <w:rsid w:val="007A1C27"/>
    <w:rsid w:val="007A3813"/>
    <w:rsid w:val="007B06DD"/>
    <w:rsid w:val="007B1449"/>
    <w:rsid w:val="007D0DCD"/>
    <w:rsid w:val="007D54F7"/>
    <w:rsid w:val="007D62A2"/>
    <w:rsid w:val="007E4CC7"/>
    <w:rsid w:val="0081585A"/>
    <w:rsid w:val="00827935"/>
    <w:rsid w:val="008301BE"/>
    <w:rsid w:val="00842F60"/>
    <w:rsid w:val="00886DB9"/>
    <w:rsid w:val="00887D43"/>
    <w:rsid w:val="00891BBA"/>
    <w:rsid w:val="008A6772"/>
    <w:rsid w:val="008B3788"/>
    <w:rsid w:val="008B538C"/>
    <w:rsid w:val="008C3438"/>
    <w:rsid w:val="008C36B1"/>
    <w:rsid w:val="008D4761"/>
    <w:rsid w:val="008D556E"/>
    <w:rsid w:val="0092392B"/>
    <w:rsid w:val="00927CC8"/>
    <w:rsid w:val="0093600A"/>
    <w:rsid w:val="00947809"/>
    <w:rsid w:val="00952132"/>
    <w:rsid w:val="00957C36"/>
    <w:rsid w:val="00985CD0"/>
    <w:rsid w:val="0098734C"/>
    <w:rsid w:val="00994C8D"/>
    <w:rsid w:val="009A2118"/>
    <w:rsid w:val="009A40E5"/>
    <w:rsid w:val="009A5DF2"/>
    <w:rsid w:val="009B3613"/>
    <w:rsid w:val="009B3B88"/>
    <w:rsid w:val="009C23E0"/>
    <w:rsid w:val="009C5B2C"/>
    <w:rsid w:val="009D2345"/>
    <w:rsid w:val="009D3D6D"/>
    <w:rsid w:val="009E2837"/>
    <w:rsid w:val="009E4FB5"/>
    <w:rsid w:val="009F70AB"/>
    <w:rsid w:val="00A064EB"/>
    <w:rsid w:val="00A31789"/>
    <w:rsid w:val="00A569FA"/>
    <w:rsid w:val="00A81A28"/>
    <w:rsid w:val="00A92F05"/>
    <w:rsid w:val="00A93137"/>
    <w:rsid w:val="00A93B6F"/>
    <w:rsid w:val="00A96718"/>
    <w:rsid w:val="00AB3089"/>
    <w:rsid w:val="00AC58C1"/>
    <w:rsid w:val="00AD14B9"/>
    <w:rsid w:val="00AD33B1"/>
    <w:rsid w:val="00AE394F"/>
    <w:rsid w:val="00AF6619"/>
    <w:rsid w:val="00B06B2A"/>
    <w:rsid w:val="00B10497"/>
    <w:rsid w:val="00B24805"/>
    <w:rsid w:val="00B41462"/>
    <w:rsid w:val="00B436A6"/>
    <w:rsid w:val="00B54AC4"/>
    <w:rsid w:val="00B54DF7"/>
    <w:rsid w:val="00B82CF6"/>
    <w:rsid w:val="00B84A69"/>
    <w:rsid w:val="00BA25DB"/>
    <w:rsid w:val="00BA26F4"/>
    <w:rsid w:val="00BA3092"/>
    <w:rsid w:val="00BA5AF4"/>
    <w:rsid w:val="00BB0E30"/>
    <w:rsid w:val="00BB4B57"/>
    <w:rsid w:val="00BB548A"/>
    <w:rsid w:val="00BD7A42"/>
    <w:rsid w:val="00BE0CE1"/>
    <w:rsid w:val="00C13811"/>
    <w:rsid w:val="00C45380"/>
    <w:rsid w:val="00C52554"/>
    <w:rsid w:val="00C640E7"/>
    <w:rsid w:val="00C76946"/>
    <w:rsid w:val="00C80782"/>
    <w:rsid w:val="00C8197A"/>
    <w:rsid w:val="00C8582C"/>
    <w:rsid w:val="00C942AB"/>
    <w:rsid w:val="00C9521D"/>
    <w:rsid w:val="00C9700B"/>
    <w:rsid w:val="00CB2961"/>
    <w:rsid w:val="00CC18FE"/>
    <w:rsid w:val="00CC6232"/>
    <w:rsid w:val="00CD0287"/>
    <w:rsid w:val="00CD7B05"/>
    <w:rsid w:val="00CE25F7"/>
    <w:rsid w:val="00CE7F21"/>
    <w:rsid w:val="00CF24A3"/>
    <w:rsid w:val="00CF66F3"/>
    <w:rsid w:val="00D21188"/>
    <w:rsid w:val="00D2343D"/>
    <w:rsid w:val="00D27A0F"/>
    <w:rsid w:val="00D53081"/>
    <w:rsid w:val="00D62C70"/>
    <w:rsid w:val="00D83AAE"/>
    <w:rsid w:val="00D91C06"/>
    <w:rsid w:val="00D94971"/>
    <w:rsid w:val="00D95C9D"/>
    <w:rsid w:val="00D966BD"/>
    <w:rsid w:val="00DB13E3"/>
    <w:rsid w:val="00DB155D"/>
    <w:rsid w:val="00DB2331"/>
    <w:rsid w:val="00DD2B6B"/>
    <w:rsid w:val="00DD6A8A"/>
    <w:rsid w:val="00DD6EC6"/>
    <w:rsid w:val="00DE08F8"/>
    <w:rsid w:val="00DE372B"/>
    <w:rsid w:val="00DE5D43"/>
    <w:rsid w:val="00DF1124"/>
    <w:rsid w:val="00DF5810"/>
    <w:rsid w:val="00E02DA2"/>
    <w:rsid w:val="00E04667"/>
    <w:rsid w:val="00E056C3"/>
    <w:rsid w:val="00E11AD3"/>
    <w:rsid w:val="00E1550F"/>
    <w:rsid w:val="00E214BA"/>
    <w:rsid w:val="00E23AA2"/>
    <w:rsid w:val="00E253A4"/>
    <w:rsid w:val="00E3112F"/>
    <w:rsid w:val="00E35D61"/>
    <w:rsid w:val="00E43327"/>
    <w:rsid w:val="00E47C04"/>
    <w:rsid w:val="00E552C8"/>
    <w:rsid w:val="00E67CFA"/>
    <w:rsid w:val="00E80099"/>
    <w:rsid w:val="00E82464"/>
    <w:rsid w:val="00E859C0"/>
    <w:rsid w:val="00E905ED"/>
    <w:rsid w:val="00E94FDC"/>
    <w:rsid w:val="00EA0BC8"/>
    <w:rsid w:val="00EC0708"/>
    <w:rsid w:val="00EC57F0"/>
    <w:rsid w:val="00ED6D62"/>
    <w:rsid w:val="00EF55CC"/>
    <w:rsid w:val="00EF6B92"/>
    <w:rsid w:val="00F144F4"/>
    <w:rsid w:val="00F20435"/>
    <w:rsid w:val="00F31BF6"/>
    <w:rsid w:val="00F402EB"/>
    <w:rsid w:val="00F62554"/>
    <w:rsid w:val="00F671E2"/>
    <w:rsid w:val="00F67356"/>
    <w:rsid w:val="00F751E6"/>
    <w:rsid w:val="00F75A6A"/>
    <w:rsid w:val="00F77E37"/>
    <w:rsid w:val="00F801C0"/>
    <w:rsid w:val="00F81BB5"/>
    <w:rsid w:val="00F94155"/>
    <w:rsid w:val="00FA05DE"/>
    <w:rsid w:val="00FA1DEC"/>
    <w:rsid w:val="00FA3F04"/>
    <w:rsid w:val="00FA430B"/>
    <w:rsid w:val="00FB2680"/>
    <w:rsid w:val="00FC1B71"/>
    <w:rsid w:val="00FC4FE6"/>
    <w:rsid w:val="00FD38B8"/>
    <w:rsid w:val="00FE447D"/>
    <w:rsid w:val="00FF591A"/>
    <w:rsid w:val="19A3CB6F"/>
    <w:rsid w:val="1E89CAC8"/>
    <w:rsid w:val="232B1A47"/>
    <w:rsid w:val="2A7A5E76"/>
    <w:rsid w:val="2B683563"/>
    <w:rsid w:val="2CA3EE3E"/>
    <w:rsid w:val="2D2CBD3F"/>
    <w:rsid w:val="2EA8FAC8"/>
    <w:rsid w:val="43461D4A"/>
    <w:rsid w:val="47C08493"/>
    <w:rsid w:val="57DBD598"/>
    <w:rsid w:val="5E1279DB"/>
    <w:rsid w:val="66E037C6"/>
    <w:rsid w:val="6B57E14A"/>
    <w:rsid w:val="6DDDAE27"/>
    <w:rsid w:val="71824C6B"/>
    <w:rsid w:val="735D4258"/>
    <w:rsid w:val="762B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A71E0"/>
  <w15:docId w15:val="{192296AE-EFD7-4A10-8CEA-CDC75C0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uiPriority w:val="99"/>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C5F4A"/>
    <w:pPr>
      <w:ind w:left="0" w:firstLine="0"/>
      <w:jc w:val="left"/>
    </w:pPr>
    <w:rPr>
      <w:rFonts w:asciiTheme="minorHAnsi" w:hAnsi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4C5F4A"/>
    <w:rPr>
      <w:b/>
      <w:bCs/>
    </w:rPr>
  </w:style>
  <w:style w:type="character" w:customStyle="1" w:styleId="CommentSubjectChar">
    <w:name w:val="Comment Subject Char"/>
    <w:basedOn w:val="CommentTextChar"/>
    <w:link w:val="CommentSubject"/>
    <w:uiPriority w:val="99"/>
    <w:semiHidden/>
    <w:rsid w:val="004C5F4A"/>
    <w:rPr>
      <w:rFonts w:asciiTheme="minorHAnsi" w:hAnsiTheme="minorHAnsi"/>
      <w:b/>
      <w:bCs/>
      <w:sz w:val="20"/>
      <w:szCs w:val="20"/>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0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93105c-6615-4cc8-b60a-b0cd8edf2509">
      <UserInfo>
        <DisplayName>AMT Users</DisplayName>
        <AccountId>13</AccountId>
        <AccountType/>
      </UserInfo>
      <UserInfo>
        <DisplayName>Zakiyya Richardson</DisplayName>
        <AccountId>120</AccountId>
        <AccountType/>
      </UserInfo>
      <UserInfo>
        <DisplayName>Dan Adu-Gyamfi</DisplayName>
        <AccountId>160</AccountId>
        <AccountType/>
      </UserInfo>
      <UserInfo>
        <DisplayName>Liz Chavasse-Hadfield</DisplayName>
        <AccountId>29</AccountId>
        <AccountType/>
      </UserInfo>
      <UserInfo>
        <DisplayName>Stacy Goodwin</DisplayName>
        <AccountId>81</AccountId>
        <AccountType/>
      </UserInfo>
      <UserInfo>
        <DisplayName>Laura Burton</DisplayName>
        <AccountId>28</AccountId>
        <AccountType/>
      </UserInfo>
      <UserInfo>
        <DisplayName>Rachel Marsland</DisplayName>
        <AccountId>35</AccountId>
        <AccountType/>
      </UserInfo>
      <UserInfo>
        <DisplayName>Michaela Burns</DisplayName>
        <AccountId>32</AccountId>
        <AccountType/>
      </UserInfo>
      <UserInfo>
        <DisplayName>Sharron McIndoe</DisplayName>
        <AccountId>76</AccountId>
        <AccountType/>
      </UserInfo>
      <UserInfo>
        <DisplayName>Fran Worthington</DisplayName>
        <AccountId>51</AccountId>
        <AccountType/>
      </UserInfo>
      <UserInfo>
        <DisplayName>Rachel Barker</DisplayName>
        <AccountId>105</AccountId>
        <AccountType/>
      </UserInfo>
      <UserInfo>
        <DisplayName>Jonathan Bruce</DisplayName>
        <AccountId>27</AccountId>
        <AccountType/>
      </UserInfo>
      <UserInfo>
        <DisplayName>Sarah Parker</DisplayName>
        <AccountId>36</AccountId>
        <AccountType/>
      </UserInfo>
      <UserInfo>
        <DisplayName>Jamie Cunningham</DisplayName>
        <AccountId>25</AccountId>
        <AccountType/>
      </UserInfo>
      <UserInfo>
        <DisplayName>Caren Breddy</DisplayName>
        <AccountId>20</AccountId>
        <AccountType/>
      </UserInfo>
      <UserInfo>
        <DisplayName>Amy Harding</DisplayName>
        <AccountId>16</AccountId>
        <AccountType/>
      </UserInfo>
      <UserInfo>
        <DisplayName>Marie Richards</DisplayName>
        <AccountId>31</AccountId>
        <AccountType/>
      </UserInfo>
      <UserInfo>
        <DisplayName>Amanda Libecans</DisplayName>
        <AccountId>15</AccountId>
        <AccountType/>
      </UserInfo>
      <UserInfo>
        <DisplayName>Donna Bradley</DisplayName>
        <AccountId>67</AccountId>
        <AccountType/>
      </UserInfo>
      <UserInfo>
        <DisplayName>Gill MacDonald</DisplayName>
        <AccountId>23</AccountId>
        <AccountType/>
      </UserInfo>
      <UserInfo>
        <DisplayName>Gillian Fryer</DisplayName>
        <AccountId>109</AccountId>
        <AccountType/>
      </UserInfo>
      <UserInfo>
        <DisplayName>Andrew Stoddart</DisplayName>
        <AccountId>18</AccountId>
        <AccountType/>
      </UserInfo>
      <UserInfo>
        <DisplayName>Daniel Brocklehurst</DisplayName>
        <AccountId>22</AccountId>
        <AccountType/>
      </UserInfo>
      <UserInfo>
        <DisplayName>Louise Haslehurst</DisplayName>
        <AccountId>30</AccountId>
        <AccountType/>
      </UserInfo>
      <UserInfo>
        <DisplayName>Peter Bacon</DisplayName>
        <AccountId>62</AccountId>
        <AccountType/>
      </UserInfo>
      <UserInfo>
        <DisplayName>Sue Morcillo</DisplayName>
        <AccountId>65</AccountId>
        <AccountType/>
      </UserInfo>
      <UserInfo>
        <DisplayName>Andrew Spedding</DisplayName>
        <AccountId>17</AccountId>
        <AccountType/>
      </UserInfo>
      <UserInfo>
        <DisplayName>Jen Hayball</DisplayName>
        <AccountId>26</AccountId>
        <AccountType/>
      </UserInfo>
    </SharedWithUsers>
    <Status xmlns="db4c8793-b834-4ca9-8f50-9b68e268f646" xsi:nil="true"/>
    <InternalCommsRequired_x003f_ xmlns="db4c8793-b834-4ca9-8f50-9b68e268f646">false</InternalCommsRequired_x003f_>
    <ChangeReason xmlns="db4c8793-b834-4ca9-8f50-9b68e268f646" xsi:nil="true"/>
    <LastApproved xmlns="db4c8793-b834-4ca9-8f50-9b68e268f646">2024-08-21T23:00:00+00:00</LastApproved>
    <Reviewer xmlns="db4c8793-b834-4ca9-8f50-9b68e268f646">
      <Value>SMT</Value>
      <Value>Challenge Group</Value>
    </Reviewer>
    <LegalCheck xmlns="db4c8793-b834-4ca9-8f50-9b68e268f646" xsi:nil="true"/>
    <Approver xmlns="db4c8793-b834-4ca9-8f50-9b68e268f646">EMT</Approver>
    <LegalCheckComments xmlns="db4c8793-b834-4ca9-8f50-9b68e268f646" xsi:nil="true"/>
    <Customercommsrequired_x003f_ xmlns="db4c8793-b834-4ca9-8f50-9b68e268f646">false</Customercommsrequired_x003f_>
    <Togoonwebsite_x003f_ xmlns="db4c8793-b834-4ca9-8f50-9b68e268f646">false</Togoonwebsite_x003f_>
    <ApprovalDueDate xmlns="db4c8793-b834-4ca9-8f50-9b68e268f646">2027-08-30T23:00:00+00:00</ApprovalDueDate>
    <Archived xmlns="db4c8793-b834-4ca9-8f50-9b68e268f646">false</Archived>
    <LeadPerson xmlns="db4c8793-b834-4ca9-8f50-9b68e268f646">
      <UserInfo>
        <DisplayName>Steffanie Goalen</DisplayName>
        <AccountId>169</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2027-04-29T23:00:00+00:00</PolicytobeReviewedW_x002f_C>
    <_Flow_SignoffStatus xmlns="db4c8793-b834-4ca9-8f50-9b68e268f646" xsi:nil="true"/>
    <Team_x0020_Library_x0020_Tags xmlns="db4c8793-b834-4ca9-8f50-9b68e268f6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26A47-1C35-433E-902F-0B35CBEE47A5}">
  <ds:schemaRefs>
    <ds:schemaRef ds:uri="5264198d-e7de-4353-be3a-eb65fe17c2f1"/>
    <ds:schemaRef ds:uri="http://schemas.microsoft.com/office/2006/documentManagement/types"/>
    <ds:schemaRef ds:uri="2dad36e7-eb71-44d5-8ee6-7b550f03c2eb"/>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3.xml><?xml version="1.0" encoding="utf-8"?>
<ds:datastoreItem xmlns:ds="http://schemas.openxmlformats.org/officeDocument/2006/customXml" ds:itemID="{56FFE928-D097-40E1-A03F-1B5155809D22}"/>
</file>

<file path=customXml/itemProps4.xml><?xml version="1.0" encoding="utf-8"?>
<ds:datastoreItem xmlns:ds="http://schemas.openxmlformats.org/officeDocument/2006/customXml" ds:itemID="{95579330-4E42-40A4-9437-A9965D7EE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dc:description/>
  <cp:lastModifiedBy>Jen Hayball</cp:lastModifiedBy>
  <cp:revision>4</cp:revision>
  <cp:lastPrinted>2011-07-13T20:55:00Z</cp:lastPrinted>
  <dcterms:created xsi:type="dcterms:W3CDTF">2024-09-04T10:33:00Z</dcterms:created>
  <dcterms:modified xsi:type="dcterms:W3CDTF">2024-09-04T10:37:00Z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y fmtid="{D5CDD505-2E9C-101B-9397-08002B2CF9AE}" pid="3" name="MediaServiceImageTags">
    <vt:lpwstr/>
  </property>
</Properties>
</file>