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427F8D5C" w14:textId="77777777" w:rsidTr="5787A12A">
        <w:tc>
          <w:tcPr>
            <w:tcW w:w="0" w:type="auto"/>
          </w:tcPr>
          <w:p w14:paraId="58655520" w14:textId="77777777" w:rsidR="007D0DCD" w:rsidRPr="007D0DCD" w:rsidRDefault="007D0DCD" w:rsidP="007D0DCD">
            <w:pPr>
              <w:rPr>
                <w:rFonts w:ascii="Calibri" w:eastAsia="Times New Roman" w:hAnsi="Calibri"/>
                <w:sz w:val="72"/>
                <w:szCs w:val="72"/>
              </w:rPr>
            </w:pPr>
            <w:r w:rsidRPr="27664A62">
              <w:rPr>
                <w:rFonts w:ascii="Calibri" w:eastAsia="Times New Roman" w:hAnsi="Calibri"/>
                <w:sz w:val="72"/>
                <w:szCs w:val="72"/>
              </w:rPr>
              <w:t>The Trust</w:t>
            </w:r>
          </w:p>
        </w:tc>
      </w:tr>
      <w:tr w:rsidR="007D0DCD" w:rsidRPr="007D0DCD" w14:paraId="7952093F" w14:textId="77777777" w:rsidTr="5787A12A">
        <w:tc>
          <w:tcPr>
            <w:tcW w:w="0" w:type="auto"/>
          </w:tcPr>
          <w:p w14:paraId="325EC901" w14:textId="39BFB962" w:rsidR="007D0DCD" w:rsidRPr="007D0DCD" w:rsidRDefault="000A0694" w:rsidP="00BA5AF4">
            <w:pPr>
              <w:rPr>
                <w:rFonts w:ascii="Calibri" w:eastAsia="Times New Roman" w:hAnsi="Calibri"/>
                <w:sz w:val="40"/>
                <w:szCs w:val="40"/>
              </w:rPr>
            </w:pPr>
            <w:r w:rsidRPr="00AD0867">
              <w:rPr>
                <w:rFonts w:ascii="Calibri" w:eastAsia="Times New Roman" w:hAnsi="Calibri"/>
                <w:color w:val="4F6228" w:themeColor="accent3" w:themeShade="80"/>
                <w:sz w:val="40"/>
                <w:szCs w:val="40"/>
              </w:rPr>
              <w:t>DECANT</w:t>
            </w:r>
            <w:r w:rsidR="00DE372B" w:rsidRPr="00AD0867">
              <w:rPr>
                <w:rFonts w:ascii="Calibri" w:eastAsia="Times New Roman" w:hAnsi="Calibri"/>
                <w:color w:val="4F6228" w:themeColor="accent3" w:themeShade="80"/>
                <w:sz w:val="40"/>
                <w:szCs w:val="40"/>
              </w:rPr>
              <w:t xml:space="preserve"> POLICY</w:t>
            </w:r>
          </w:p>
        </w:tc>
      </w:tr>
      <w:tr w:rsidR="007D0DCD" w:rsidRPr="007D0DCD" w14:paraId="4DB85CCC" w14:textId="77777777" w:rsidTr="5787A12A">
        <w:tc>
          <w:tcPr>
            <w:tcW w:w="0" w:type="auto"/>
          </w:tcPr>
          <w:p w14:paraId="5B39A694" w14:textId="212916FF" w:rsidR="00B54DF7" w:rsidRPr="00B54DF7" w:rsidRDefault="00DD6A8A" w:rsidP="00C154F3">
            <w:pPr>
              <w:jc w:val="left"/>
              <w:rPr>
                <w:rFonts w:ascii="Calibri" w:eastAsia="Times New Roman" w:hAnsi="Calibri"/>
                <w:i/>
                <w:iCs/>
                <w:color w:val="A6A6A6" w:themeColor="background1" w:themeShade="A6"/>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C154F3" w:rsidRPr="00AD0867">
              <w:rPr>
                <w:rFonts w:ascii="Calibri" w:eastAsia="Times New Roman" w:hAnsi="Calibri"/>
                <w:color w:val="4F6228" w:themeColor="accent3" w:themeShade="80"/>
                <w:sz w:val="28"/>
                <w:szCs w:val="28"/>
              </w:rPr>
              <w:t>1</w:t>
            </w:r>
          </w:p>
        </w:tc>
      </w:tr>
      <w:tr w:rsidR="007D0DCD" w:rsidRPr="007D0DCD" w14:paraId="32CFE814" w14:textId="77777777" w:rsidTr="5787A12A">
        <w:tc>
          <w:tcPr>
            <w:tcW w:w="0" w:type="auto"/>
          </w:tcPr>
          <w:p w14:paraId="0D12CB7E" w14:textId="77777777" w:rsidR="00AD0867" w:rsidRDefault="00DD6A8A" w:rsidP="00C154F3">
            <w:pPr>
              <w:jc w:val="left"/>
              <w:rPr>
                <w:rFonts w:ascii="Calibri" w:eastAsia="Times New Roman" w:hAnsi="Calibri"/>
                <w:color w:val="4F6228" w:themeColor="accent3" w:themeShade="80"/>
                <w:sz w:val="28"/>
                <w:szCs w:val="28"/>
              </w:rPr>
            </w:pPr>
            <w:r>
              <w:rPr>
                <w:rFonts w:ascii="Calibri" w:eastAsia="Times New Roman" w:hAnsi="Calibri"/>
                <w:sz w:val="28"/>
                <w:szCs w:val="28"/>
              </w:rPr>
              <w:t>Effective Date</w:t>
            </w:r>
            <w:r w:rsidRPr="00AD0867">
              <w:rPr>
                <w:rFonts w:ascii="Calibri" w:eastAsia="Times New Roman" w:hAnsi="Calibri"/>
                <w:color w:val="4F6228" w:themeColor="accent3" w:themeShade="80"/>
                <w:sz w:val="28"/>
                <w:szCs w:val="28"/>
              </w:rPr>
              <w:t>:</w:t>
            </w:r>
            <w:r w:rsidR="00DE372B" w:rsidRPr="00AD0867">
              <w:rPr>
                <w:rFonts w:ascii="Calibri" w:eastAsia="Times New Roman" w:hAnsi="Calibri"/>
                <w:color w:val="4F6228" w:themeColor="accent3" w:themeShade="80"/>
                <w:sz w:val="28"/>
                <w:szCs w:val="28"/>
              </w:rPr>
              <w:t xml:space="preserve"> </w:t>
            </w:r>
          </w:p>
          <w:p w14:paraId="34CCE091" w14:textId="44911656" w:rsidR="007D0DCD" w:rsidRPr="00AD0867" w:rsidRDefault="00AD0867" w:rsidP="00C154F3">
            <w:pPr>
              <w:jc w:val="left"/>
              <w:rPr>
                <w:rFonts w:ascii="Calibri" w:eastAsia="Times New Roman" w:hAnsi="Calibri"/>
                <w:sz w:val="28"/>
                <w:szCs w:val="28"/>
              </w:rPr>
            </w:pPr>
            <w:r w:rsidRPr="00AD0867">
              <w:rPr>
                <w:rFonts w:ascii="Calibri" w:eastAsia="Times New Roman" w:hAnsi="Calibri"/>
                <w:color w:val="4F6228" w:themeColor="accent3" w:themeShade="80"/>
                <w:sz w:val="28"/>
                <w:szCs w:val="28"/>
              </w:rPr>
              <w:t>23</w:t>
            </w:r>
            <w:r w:rsidRPr="00AD0867">
              <w:rPr>
                <w:rFonts w:ascii="Calibri" w:eastAsia="Times New Roman" w:hAnsi="Calibri"/>
                <w:color w:val="4F6228" w:themeColor="accent3" w:themeShade="80"/>
                <w:sz w:val="28"/>
                <w:szCs w:val="28"/>
                <w:vertAlign w:val="superscript"/>
              </w:rPr>
              <w:t>rd</w:t>
            </w:r>
            <w:r w:rsidRPr="00AD0867">
              <w:rPr>
                <w:rFonts w:ascii="Calibri" w:eastAsia="Times New Roman" w:hAnsi="Calibri"/>
                <w:color w:val="4F6228" w:themeColor="accent3" w:themeShade="80"/>
                <w:sz w:val="28"/>
                <w:szCs w:val="28"/>
              </w:rPr>
              <w:t xml:space="preserve"> </w:t>
            </w:r>
            <w:r w:rsidR="00C154F3" w:rsidRPr="00AD0867">
              <w:rPr>
                <w:rFonts w:ascii="Calibri" w:eastAsia="Times New Roman" w:hAnsi="Calibri"/>
                <w:color w:val="4F6228" w:themeColor="accent3" w:themeShade="80"/>
                <w:sz w:val="28"/>
                <w:szCs w:val="28"/>
              </w:rPr>
              <w:t>August 2024</w:t>
            </w:r>
          </w:p>
        </w:tc>
      </w:tr>
      <w:tr w:rsidR="007D0DCD" w:rsidRPr="007D0DCD" w14:paraId="437452AA" w14:textId="77777777" w:rsidTr="5787A12A">
        <w:tc>
          <w:tcPr>
            <w:tcW w:w="0" w:type="auto"/>
          </w:tcPr>
          <w:p w14:paraId="6D071317" w14:textId="77777777"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27664A62">
      <w:pPr>
        <w:ind w:left="-540" w:hanging="360"/>
        <w:rPr>
          <w:rFonts w:ascii="Calibri" w:eastAsia="Times New Roman" w:hAnsi="Calibri"/>
          <w:lang w:eastAsia="en-GB"/>
        </w:rPr>
      </w:pPr>
      <w:r>
        <w:rPr>
          <w:noProof/>
        </w:rPr>
        <w:drawing>
          <wp:inline distT="0" distB="0" distL="0" distR="0" wp14:anchorId="07552D2E" wp14:editId="4D4D5346">
            <wp:extent cx="3543300" cy="2828925"/>
            <wp:effectExtent l="0" t="0" r="0" b="9525"/>
            <wp:docPr id="4" name="Picture 1"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543300" cy="2828925"/>
                    </a:xfrm>
                    <a:prstGeom prst="rect">
                      <a:avLst/>
                    </a:prstGeom>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77777777" w:rsidR="007D0DCD" w:rsidRPr="007D0DCD" w:rsidRDefault="007D0DCD" w:rsidP="007D0DCD">
      <w:pPr>
        <w:rPr>
          <w:rFonts w:ascii="Calibri" w:eastAsia="Times New Roman" w:hAnsi="Calibri"/>
          <w:b/>
          <w:szCs w:val="20"/>
          <w:u w:val="single"/>
          <w:lang w:eastAsia="en-GB"/>
        </w:rPr>
      </w:pP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77777777" w:rsidR="007D0DCD" w:rsidRPr="007D0DCD" w:rsidRDefault="007D0DCD" w:rsidP="007D0DCD">
      <w:pPr>
        <w:rPr>
          <w:rFonts w:ascii="Calibri" w:eastAsia="Times New Roman" w:hAnsi="Calibri"/>
          <w:b/>
          <w:szCs w:val="20"/>
          <w:u w:val="single"/>
          <w:lang w:eastAsia="en-GB"/>
        </w:rPr>
      </w:pP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0BF1079" w:rsidR="007D0DCD" w:rsidRPr="007D0DCD" w:rsidRDefault="00C154F3" w:rsidP="007D0DCD">
      <w:pPr>
        <w:rPr>
          <w:rFonts w:ascii="Calibri" w:eastAsia="Times New Roman" w:hAnsi="Calibri"/>
          <w:b/>
          <w:szCs w:val="20"/>
          <w:u w:val="single"/>
          <w:lang w:eastAsia="en-GB"/>
        </w:rPr>
        <w:sectPr w:rsidR="007D0DCD" w:rsidRPr="007D0DCD">
          <w:pgSz w:w="11906" w:h="16838"/>
          <w:pgMar w:top="1440" w:right="1800" w:bottom="1440" w:left="1800" w:header="708" w:footer="708" w:gutter="0"/>
          <w:cols w:space="708"/>
          <w:docGrid w:linePitch="360"/>
        </w:sectPr>
      </w:pPr>
      <w:r>
        <w:rPr>
          <w:noProof/>
        </w:rPr>
        <w:drawing>
          <wp:anchor distT="0" distB="0" distL="114300" distR="114300" simplePos="0" relativeHeight="251659264" behindDoc="0" locked="0" layoutInCell="1" allowOverlap="1" wp14:anchorId="6CE7E1BF" wp14:editId="16CC5CE4">
            <wp:simplePos x="0" y="0"/>
            <wp:positionH relativeFrom="margin">
              <wp:posOffset>0</wp:posOffset>
            </wp:positionH>
            <wp:positionV relativeFrom="margin">
              <wp:posOffset>6377305</wp:posOffset>
            </wp:positionV>
            <wp:extent cx="1905000" cy="1969674"/>
            <wp:effectExtent l="0" t="0" r="0" b="0"/>
            <wp:wrapSquare wrapText="bothSides"/>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69674"/>
                    </a:xfrm>
                    <a:prstGeom prst="rect">
                      <a:avLst/>
                    </a:prstGeom>
                    <a:noFill/>
                    <a:ln>
                      <a:noFill/>
                    </a:ln>
                  </pic:spPr>
                </pic:pic>
              </a:graphicData>
            </a:graphic>
          </wp:anchor>
        </w:drawing>
      </w:r>
    </w:p>
    <w:p w14:paraId="0531D3F1" w14:textId="251569FB"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p>
    <w:p w14:paraId="639C80DE" w14:textId="77777777" w:rsidR="007D0DCD" w:rsidRPr="00DE372B" w:rsidRDefault="007D0DCD" w:rsidP="007D0DCD">
      <w:pPr>
        <w:rPr>
          <w:rFonts w:ascii="Calibri" w:eastAsia="Times New Roman" w:hAnsi="Calibri"/>
          <w:b/>
          <w:color w:val="FF0000"/>
          <w:szCs w:val="20"/>
          <w:u w:val="single"/>
          <w:lang w:eastAsia="en-GB"/>
        </w:rPr>
      </w:pPr>
    </w:p>
    <w:p w14:paraId="02947CD9" w14:textId="4696A7FC" w:rsidR="007B06DD" w:rsidRDefault="00D966BD">
      <w:pPr>
        <w:pStyle w:val="TOC1"/>
        <w:rPr>
          <w:rFonts w:asciiTheme="minorHAnsi" w:eastAsiaTheme="minorEastAsia" w:hAnsiTheme="minorHAnsi" w:cstheme="minorBidi"/>
          <w:b w:val="0"/>
          <w:caps w:val="0"/>
          <w:sz w:val="22"/>
          <w:szCs w:val="22"/>
          <w:lang w:eastAsia="en-GB"/>
        </w:rPr>
      </w:pPr>
      <w:r>
        <w:rPr>
          <w:rFonts w:eastAsia="Times New Roman" w:cs="Arial"/>
          <w:szCs w:val="20"/>
        </w:rPr>
        <w:fldChar w:fldCharType="begin"/>
      </w:r>
      <w:r>
        <w:rPr>
          <w:rFonts w:eastAsia="Times New Roman" w:cs="Arial"/>
          <w:szCs w:val="20"/>
        </w:rPr>
        <w:instrText xml:space="preserve"> TOC \o "1-1" \t "Heading2,2" </w:instrText>
      </w:r>
      <w:r>
        <w:rPr>
          <w:rFonts w:eastAsia="Times New Roman" w:cs="Arial"/>
          <w:szCs w:val="20"/>
        </w:rPr>
        <w:fldChar w:fldCharType="separate"/>
      </w:r>
      <w:r w:rsidR="007B06DD">
        <w:t>INTRODUCTION</w:t>
      </w:r>
      <w:r w:rsidR="007B06DD">
        <w:tab/>
      </w:r>
      <w:r w:rsidR="007B06DD">
        <w:fldChar w:fldCharType="begin"/>
      </w:r>
      <w:r w:rsidR="007B06DD">
        <w:instrText xml:space="preserve"> PAGEREF _Toc116910368 \h </w:instrText>
      </w:r>
      <w:r w:rsidR="007B06DD">
        <w:fldChar w:fldCharType="separate"/>
      </w:r>
      <w:r w:rsidR="00E63CDA">
        <w:t>1</w:t>
      </w:r>
      <w:r w:rsidR="007B06DD">
        <w:fldChar w:fldCharType="end"/>
      </w:r>
    </w:p>
    <w:p w14:paraId="158646C9" w14:textId="3E948D4F" w:rsidR="007B06DD" w:rsidRDefault="007B06DD">
      <w:pPr>
        <w:pStyle w:val="TOC1"/>
        <w:rPr>
          <w:rFonts w:asciiTheme="minorHAnsi" w:eastAsiaTheme="minorEastAsia" w:hAnsiTheme="minorHAnsi" w:cstheme="minorBidi"/>
          <w:b w:val="0"/>
          <w:caps w:val="0"/>
          <w:sz w:val="22"/>
          <w:szCs w:val="22"/>
          <w:lang w:eastAsia="en-GB"/>
        </w:rPr>
      </w:pPr>
      <w:r>
        <w:t>scope</w:t>
      </w:r>
      <w:r>
        <w:tab/>
      </w:r>
      <w:r>
        <w:fldChar w:fldCharType="begin"/>
      </w:r>
      <w:r>
        <w:instrText xml:space="preserve"> PAGEREF _Toc116910369 \h </w:instrText>
      </w:r>
      <w:r>
        <w:fldChar w:fldCharType="separate"/>
      </w:r>
      <w:r w:rsidR="00E63CDA">
        <w:t>1</w:t>
      </w:r>
      <w:r>
        <w:fldChar w:fldCharType="end"/>
      </w:r>
    </w:p>
    <w:p w14:paraId="5B56381B" w14:textId="1F45A130"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LEGAL &amp; REGULATORY REQUIREMENTS</w:t>
      </w:r>
      <w:r>
        <w:tab/>
      </w:r>
      <w:r>
        <w:fldChar w:fldCharType="begin"/>
      </w:r>
      <w:r>
        <w:instrText xml:space="preserve"> PAGEREF _Toc116910370 \h </w:instrText>
      </w:r>
      <w:r>
        <w:fldChar w:fldCharType="separate"/>
      </w:r>
      <w:r w:rsidR="00E63CDA">
        <w:t>1</w:t>
      </w:r>
      <w:r>
        <w:fldChar w:fldCharType="end"/>
      </w:r>
    </w:p>
    <w:p w14:paraId="15B33F4D" w14:textId="79AD60F8"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definitions</w:t>
      </w:r>
      <w:r>
        <w:tab/>
      </w:r>
      <w:r>
        <w:fldChar w:fldCharType="begin"/>
      </w:r>
      <w:r>
        <w:instrText xml:space="preserve"> PAGEREF _Toc116910371 \h </w:instrText>
      </w:r>
      <w:r>
        <w:fldChar w:fldCharType="separate"/>
      </w:r>
      <w:r w:rsidR="00E63CDA">
        <w:t>2</w:t>
      </w:r>
      <w:r>
        <w:fldChar w:fldCharType="end"/>
      </w:r>
    </w:p>
    <w:p w14:paraId="18901822" w14:textId="17E9D338"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OUR POLICY</w:t>
      </w:r>
      <w:r>
        <w:tab/>
      </w:r>
      <w:r>
        <w:fldChar w:fldCharType="begin"/>
      </w:r>
      <w:r>
        <w:instrText xml:space="preserve"> PAGEREF _Toc116910372 \h </w:instrText>
      </w:r>
      <w:r>
        <w:fldChar w:fldCharType="separate"/>
      </w:r>
      <w:r w:rsidR="00E63CDA">
        <w:t>3</w:t>
      </w:r>
      <w:r>
        <w:fldChar w:fldCharType="end"/>
      </w:r>
    </w:p>
    <w:p w14:paraId="6AFA9BCD" w14:textId="6BD33F76"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EQUALITY, DIVERSITY &amp; INCLUSION</w:t>
      </w:r>
      <w:r>
        <w:tab/>
      </w:r>
      <w:r>
        <w:fldChar w:fldCharType="begin"/>
      </w:r>
      <w:r>
        <w:instrText xml:space="preserve"> PAGEREF _Toc116910373 \h </w:instrText>
      </w:r>
      <w:r>
        <w:fldChar w:fldCharType="separate"/>
      </w:r>
      <w:r w:rsidR="00E63CDA">
        <w:t>8</w:t>
      </w:r>
      <w:r>
        <w:fldChar w:fldCharType="end"/>
      </w:r>
    </w:p>
    <w:p w14:paraId="2B38044E" w14:textId="20DC9021" w:rsidR="007B06DD" w:rsidRDefault="007B06DD">
      <w:pPr>
        <w:pStyle w:val="TOC1"/>
        <w:rPr>
          <w:rFonts w:asciiTheme="minorHAnsi" w:eastAsiaTheme="minorEastAsia" w:hAnsiTheme="minorHAnsi" w:cstheme="minorBidi"/>
          <w:b w:val="0"/>
          <w:caps w:val="0"/>
          <w:sz w:val="22"/>
          <w:szCs w:val="22"/>
          <w:lang w:eastAsia="en-GB"/>
        </w:rPr>
      </w:pPr>
      <w:r>
        <w:t>RESPONSIBILITIES</w:t>
      </w:r>
      <w:r>
        <w:tab/>
      </w:r>
      <w:r>
        <w:fldChar w:fldCharType="begin"/>
      </w:r>
      <w:r>
        <w:instrText xml:space="preserve"> PAGEREF _Toc116910374 \h </w:instrText>
      </w:r>
      <w:r>
        <w:fldChar w:fldCharType="separate"/>
      </w:r>
      <w:r w:rsidR="00E63CDA">
        <w:t>8</w:t>
      </w:r>
      <w:r>
        <w:fldChar w:fldCharType="end"/>
      </w:r>
    </w:p>
    <w:p w14:paraId="1F09EF7E" w14:textId="22FE4258"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MONITORING AND REPORTING</w:t>
      </w:r>
      <w:r>
        <w:tab/>
      </w:r>
      <w:r>
        <w:fldChar w:fldCharType="begin"/>
      </w:r>
      <w:r>
        <w:instrText xml:space="preserve"> PAGEREF _Toc116910375 \h </w:instrText>
      </w:r>
      <w:r>
        <w:fldChar w:fldCharType="separate"/>
      </w:r>
      <w:r w:rsidR="00E63CDA">
        <w:t>9</w:t>
      </w:r>
      <w:r>
        <w:fldChar w:fldCharType="end"/>
      </w:r>
    </w:p>
    <w:p w14:paraId="5B356F5E" w14:textId="3BB277A5"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CONSULTATION</w:t>
      </w:r>
      <w:r>
        <w:tab/>
      </w:r>
      <w:r>
        <w:fldChar w:fldCharType="begin"/>
      </w:r>
      <w:r>
        <w:instrText xml:space="preserve"> PAGEREF _Toc116910376 \h </w:instrText>
      </w:r>
      <w:r>
        <w:fldChar w:fldCharType="separate"/>
      </w:r>
      <w:r w:rsidR="00E63CDA">
        <w:t>9</w:t>
      </w:r>
      <w:r>
        <w:fldChar w:fldCharType="end"/>
      </w:r>
    </w:p>
    <w:p w14:paraId="2BFE44A3" w14:textId="73CED526"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REVIEW</w:t>
      </w:r>
      <w:r>
        <w:tab/>
      </w:r>
      <w:r>
        <w:fldChar w:fldCharType="begin"/>
      </w:r>
      <w:r>
        <w:instrText xml:space="preserve"> PAGEREF _Toc116910377 \h </w:instrText>
      </w:r>
      <w:r>
        <w:fldChar w:fldCharType="separate"/>
      </w:r>
      <w:r w:rsidR="00E63CDA">
        <w:t>9</w:t>
      </w:r>
      <w:r>
        <w:fldChar w:fldCharType="end"/>
      </w:r>
    </w:p>
    <w:p w14:paraId="549BF2BC" w14:textId="3ECB14DD" w:rsidR="007B06DD" w:rsidRDefault="007B06DD">
      <w:pPr>
        <w:pStyle w:val="TOC1"/>
        <w:rPr>
          <w:rFonts w:asciiTheme="minorHAnsi" w:eastAsiaTheme="minorEastAsia" w:hAnsiTheme="minorHAnsi" w:cstheme="minorBidi"/>
          <w:b w:val="0"/>
          <w:caps w:val="0"/>
          <w:sz w:val="22"/>
          <w:szCs w:val="22"/>
          <w:lang w:eastAsia="en-GB"/>
        </w:rPr>
      </w:pPr>
      <w:r>
        <w:t>ASSOCIATED DOCUMENTS</w:t>
      </w:r>
      <w:r>
        <w:tab/>
      </w:r>
      <w:r>
        <w:fldChar w:fldCharType="begin"/>
      </w:r>
      <w:r>
        <w:instrText xml:space="preserve"> PAGEREF _Toc116910378 \h </w:instrText>
      </w:r>
      <w:r>
        <w:fldChar w:fldCharType="separate"/>
      </w:r>
      <w:r w:rsidR="00E63CDA">
        <w:t>9</w:t>
      </w:r>
      <w:r>
        <w:fldChar w:fldCharType="end"/>
      </w:r>
    </w:p>
    <w:p w14:paraId="7DBC081C" w14:textId="716A3039" w:rsidR="007B06DD" w:rsidRDefault="007B06DD">
      <w:pPr>
        <w:pStyle w:val="TOC1"/>
        <w:rPr>
          <w:rFonts w:asciiTheme="minorHAnsi" w:eastAsiaTheme="minorEastAsia" w:hAnsiTheme="minorHAnsi" w:cstheme="minorBidi"/>
          <w:b w:val="0"/>
          <w:caps w:val="0"/>
          <w:sz w:val="22"/>
          <w:szCs w:val="22"/>
          <w:lang w:eastAsia="en-GB"/>
        </w:rPr>
      </w:pPr>
      <w:r>
        <w:t>POLICY INFORMATION</w:t>
      </w:r>
      <w:r>
        <w:tab/>
      </w:r>
      <w:r>
        <w:fldChar w:fldCharType="begin"/>
      </w:r>
      <w:r>
        <w:instrText xml:space="preserve"> PAGEREF _Toc116910379 \h </w:instrText>
      </w:r>
      <w:r>
        <w:fldChar w:fldCharType="separate"/>
      </w:r>
      <w:r w:rsidR="00E63CDA">
        <w:t>10</w:t>
      </w:r>
      <w:r>
        <w:fldChar w:fldCharType="end"/>
      </w:r>
    </w:p>
    <w:p w14:paraId="66F914F8" w14:textId="31901701" w:rsidR="000114C6" w:rsidRDefault="00D966BD" w:rsidP="00E3112F">
      <w:pPr>
        <w:pStyle w:val="TOC1"/>
        <w:numPr>
          <w:ilvl w:val="0"/>
          <w:numId w:val="0"/>
        </w:numPr>
        <w:ind w:left="357"/>
      </w:pPr>
      <w:r>
        <w:rPr>
          <w:rFonts w:eastAsia="Times New Roman" w:cs="Arial"/>
          <w:szCs w:val="20"/>
        </w:rPr>
        <w:fldChar w:fldCharType="end"/>
      </w:r>
    </w:p>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74F3723" w14:textId="77777777" w:rsidR="00E3112F" w:rsidRDefault="00E3112F" w:rsidP="00E3112F"/>
    <w:p w14:paraId="35032AC8" w14:textId="77777777" w:rsidR="00E3112F" w:rsidRDefault="00E3112F" w:rsidP="00E3112F"/>
    <w:p w14:paraId="558D183E" w14:textId="77777777" w:rsidR="00E3112F" w:rsidRPr="00E3112F" w:rsidRDefault="00E3112F" w:rsidP="00E3112F"/>
    <w:p w14:paraId="20E7D758" w14:textId="77777777" w:rsidR="000114C6" w:rsidRDefault="000114C6" w:rsidP="003C1B99">
      <w:pPr>
        <w:pStyle w:val="TOC1"/>
        <w:sectPr w:rsidR="000114C6" w:rsidSect="005927A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93600A" w:rsidRPr="007D0DCD" w14:paraId="3E8B33FB" w14:textId="77777777" w:rsidTr="5787A12A">
        <w:trPr>
          <w:trHeight w:hRule="exact" w:val="20"/>
        </w:trPr>
        <w:tc>
          <w:tcPr>
            <w:tcW w:w="817" w:type="dxa"/>
            <w:tcBorders>
              <w:bottom w:val="nil"/>
            </w:tcBorders>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Borders>
              <w:bottom w:val="nil"/>
            </w:tcBorders>
          </w:tcPr>
          <w:p w14:paraId="37868438" w14:textId="77777777" w:rsidR="0093600A" w:rsidRDefault="0093600A">
            <w:pPr>
              <w:rPr>
                <w:sz w:val="2"/>
              </w:rPr>
            </w:pPr>
          </w:p>
        </w:tc>
      </w:tr>
      <w:tr w:rsidR="0093600A" w:rsidRPr="007D0DCD" w14:paraId="2DFE7376" w14:textId="77777777" w:rsidTr="5787A12A">
        <w:tc>
          <w:tcPr>
            <w:tcW w:w="817" w:type="dxa"/>
            <w:tcBorders>
              <w:top w:val="nil"/>
              <w:left w:val="nil"/>
              <w:bottom w:val="nil"/>
              <w:right w:val="nil"/>
            </w:tcBorders>
          </w:tcPr>
          <w:p w14:paraId="7D5603A4" w14:textId="77777777" w:rsidR="0093600A" w:rsidRPr="003C1B99" w:rsidRDefault="0093600A" w:rsidP="0093600A">
            <w:pPr>
              <w:pStyle w:val="ListParagraph"/>
              <w:numPr>
                <w:ilvl w:val="0"/>
                <w:numId w:val="5"/>
              </w:numPr>
            </w:pPr>
          </w:p>
        </w:tc>
        <w:tc>
          <w:tcPr>
            <w:tcW w:w="8816" w:type="dxa"/>
            <w:tcBorders>
              <w:top w:val="nil"/>
              <w:left w:val="nil"/>
              <w:bottom w:val="nil"/>
              <w:right w:val="nil"/>
            </w:tcBorders>
          </w:tcPr>
          <w:p w14:paraId="67D69426" w14:textId="51E9319F" w:rsidR="0093600A" w:rsidRPr="0081585A" w:rsidRDefault="0093600A" w:rsidP="00601BEC">
            <w:pPr>
              <w:pStyle w:val="Heading1"/>
            </w:pPr>
            <w:bookmarkStart w:id="5" w:name="_Toc476208626"/>
            <w:bookmarkStart w:id="6" w:name="_Toc116910368"/>
            <w:r w:rsidRPr="00601BEC">
              <w:t>INTRODUCTION</w:t>
            </w:r>
            <w:bookmarkEnd w:id="5"/>
            <w:bookmarkEnd w:id="6"/>
            <w:r w:rsidR="00247C6B">
              <w:t xml:space="preserve"> </w:t>
            </w:r>
          </w:p>
        </w:tc>
      </w:tr>
      <w:tr w:rsidR="0093600A" w:rsidRPr="007D0DCD" w14:paraId="73DA72BE" w14:textId="77777777" w:rsidTr="5787A12A">
        <w:tc>
          <w:tcPr>
            <w:tcW w:w="817" w:type="dxa"/>
            <w:tcBorders>
              <w:top w:val="nil"/>
              <w:left w:val="nil"/>
              <w:bottom w:val="nil"/>
              <w:right w:val="nil"/>
            </w:tcBorders>
          </w:tcPr>
          <w:p w14:paraId="15A040CC"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FE29E29" w14:textId="2974C02A" w:rsidR="007B06DD" w:rsidRPr="00CB2961" w:rsidRDefault="007B06DD" w:rsidP="00B54DF7">
            <w:pPr>
              <w:rPr>
                <w:i/>
                <w:iCs/>
                <w:color w:val="A6A6A6" w:themeColor="background1" w:themeShade="A6"/>
              </w:rPr>
            </w:pPr>
          </w:p>
        </w:tc>
      </w:tr>
      <w:tr w:rsidR="00B41462" w:rsidRPr="007D0DCD" w14:paraId="346E1BFD" w14:textId="77777777" w:rsidTr="5787A12A">
        <w:tc>
          <w:tcPr>
            <w:tcW w:w="817" w:type="dxa"/>
            <w:tcBorders>
              <w:top w:val="nil"/>
              <w:left w:val="nil"/>
              <w:bottom w:val="nil"/>
              <w:right w:val="nil"/>
            </w:tcBorders>
          </w:tcPr>
          <w:p w14:paraId="31BBC2DD" w14:textId="77777777" w:rsidR="00B41462" w:rsidRPr="007D0DCD" w:rsidRDefault="00B41462" w:rsidP="0093600A">
            <w:pPr>
              <w:rPr>
                <w:rFonts w:ascii="Calibri" w:eastAsia="Times New Roman" w:hAnsi="Calibri" w:cs="Arial"/>
                <w:szCs w:val="20"/>
                <w:lang w:eastAsia="en-GB"/>
              </w:rPr>
            </w:pPr>
          </w:p>
        </w:tc>
        <w:tc>
          <w:tcPr>
            <w:tcW w:w="8816" w:type="dxa"/>
            <w:tcBorders>
              <w:top w:val="nil"/>
              <w:left w:val="nil"/>
              <w:bottom w:val="nil"/>
              <w:right w:val="nil"/>
            </w:tcBorders>
          </w:tcPr>
          <w:p w14:paraId="0B2F6624" w14:textId="77777777" w:rsidR="00B41462" w:rsidRPr="00A064EB" w:rsidRDefault="00B41462" w:rsidP="00247C6B">
            <w:pPr>
              <w:rPr>
                <w:i/>
                <w:iCs/>
                <w:color w:val="FF0000"/>
                <w:lang w:val="en-US"/>
              </w:rPr>
            </w:pPr>
          </w:p>
        </w:tc>
      </w:tr>
      <w:tr w:rsidR="0093600A" w:rsidRPr="007D0DCD" w14:paraId="77D9890F" w14:textId="77777777" w:rsidTr="5787A12A">
        <w:tc>
          <w:tcPr>
            <w:tcW w:w="817" w:type="dxa"/>
            <w:tcBorders>
              <w:top w:val="nil"/>
              <w:left w:val="nil"/>
              <w:bottom w:val="nil"/>
              <w:right w:val="nil"/>
            </w:tcBorders>
          </w:tcPr>
          <w:p w14:paraId="1E70D9CA"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6A5FCA1C" w14:textId="78B08D0F" w:rsidR="0093600A" w:rsidRPr="007D0DCD" w:rsidRDefault="000A0694" w:rsidP="00DD6A8A">
            <w:pPr>
              <w:rPr>
                <w:lang w:eastAsia="en-GB"/>
              </w:rPr>
            </w:pPr>
            <w:r>
              <w:t xml:space="preserve">The Decant Policy outlines when it may be necessary for Peaks </w:t>
            </w:r>
            <w:r w:rsidR="00156016">
              <w:t xml:space="preserve">&amp; </w:t>
            </w:r>
            <w:r>
              <w:t>Plains Housing Trust (the Trust) to facilitate a permanent or temporary move for a tenant(s) from their current property/garage to another property/garage.</w:t>
            </w:r>
          </w:p>
        </w:tc>
      </w:tr>
      <w:tr w:rsidR="0093600A" w:rsidRPr="007D0DCD" w14:paraId="0277B2CF" w14:textId="77777777" w:rsidTr="5787A12A">
        <w:tc>
          <w:tcPr>
            <w:tcW w:w="817" w:type="dxa"/>
            <w:tcBorders>
              <w:top w:val="nil"/>
              <w:left w:val="nil"/>
              <w:bottom w:val="nil"/>
              <w:right w:val="nil"/>
            </w:tcBorders>
          </w:tcPr>
          <w:p w14:paraId="6F6BEC13"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A4C76D6" w14:textId="77777777" w:rsidR="0093600A" w:rsidRPr="007D0DCD" w:rsidRDefault="0093600A" w:rsidP="0093600A">
            <w:pPr>
              <w:rPr>
                <w:rFonts w:ascii="Calibri" w:eastAsia="Times New Roman" w:hAnsi="Calibri" w:cs="Arial"/>
                <w:szCs w:val="20"/>
                <w:lang w:eastAsia="en-GB"/>
              </w:rPr>
            </w:pPr>
          </w:p>
        </w:tc>
      </w:tr>
      <w:tr w:rsidR="0093600A" w:rsidRPr="007D0DCD" w14:paraId="2F306CE0" w14:textId="77777777" w:rsidTr="5787A12A">
        <w:tc>
          <w:tcPr>
            <w:tcW w:w="817" w:type="dxa"/>
            <w:tcBorders>
              <w:top w:val="nil"/>
              <w:left w:val="nil"/>
              <w:bottom w:val="nil"/>
              <w:right w:val="nil"/>
            </w:tcBorders>
          </w:tcPr>
          <w:p w14:paraId="4513521E"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AC1399B" w14:textId="391CCD67" w:rsidR="0093600A" w:rsidRDefault="000A0694" w:rsidP="0093600A">
            <w:r w:rsidRPr="5787A12A">
              <w:rPr>
                <w:rFonts w:ascii="Calibri" w:eastAsia="Times New Roman" w:hAnsi="Calibri" w:cs="Arial"/>
                <w:lang w:eastAsia="en-GB"/>
              </w:rPr>
              <w:t xml:space="preserve">A </w:t>
            </w:r>
            <w:r>
              <w:t>decant property</w:t>
            </w:r>
            <w:r w:rsidR="00687D5E">
              <w:t xml:space="preserve"> may be</w:t>
            </w:r>
            <w:r>
              <w:t xml:space="preserve"> will be arranged for several reasons, such as</w:t>
            </w:r>
            <w:r w:rsidR="00667D7A">
              <w:t>:</w:t>
            </w:r>
          </w:p>
          <w:p w14:paraId="22FE2005" w14:textId="77777777" w:rsidR="00667D7A" w:rsidRDefault="00667D7A" w:rsidP="0093600A">
            <w:r>
              <w:t xml:space="preserve">• A building is unsafe or hazardous </w:t>
            </w:r>
          </w:p>
          <w:p w14:paraId="660E6C16" w14:textId="77777777" w:rsidR="00667D7A" w:rsidRDefault="00667D7A" w:rsidP="0093600A">
            <w:r>
              <w:t xml:space="preserve">• Work is required to a building that may be harmful to occupants e.g. chemical work or large scale removal of asbestos </w:t>
            </w:r>
          </w:p>
          <w:p w14:paraId="03F05384" w14:textId="77777777" w:rsidR="003E2A05" w:rsidRDefault="00667D7A" w:rsidP="0093600A">
            <w:r>
              <w:t>• Gas/ electricity/ or water will not be available for a prolonged period of time</w:t>
            </w:r>
          </w:p>
          <w:p w14:paraId="3554037A" w14:textId="1E7FF28B" w:rsidR="00667D7A" w:rsidRDefault="003E2A05" w:rsidP="0093600A">
            <w:r>
              <w:t>• Customer health, wellbeing and safety</w:t>
            </w:r>
          </w:p>
          <w:p w14:paraId="056BD658" w14:textId="661294A7" w:rsidR="5787A12A" w:rsidRDefault="00667D7A">
            <w:r>
              <w:t xml:space="preserve">• The building is due for re-modelling, demolition or extended repair </w:t>
            </w:r>
          </w:p>
          <w:p w14:paraId="4E5F6102" w14:textId="7C7C60A0" w:rsidR="00667D7A" w:rsidRPr="00BA5AF4" w:rsidRDefault="00667D7A" w:rsidP="5787A12A">
            <w:pPr>
              <w:rPr>
                <w:rFonts w:ascii="Calibri" w:eastAsia="Times New Roman" w:hAnsi="Calibri" w:cs="Arial"/>
                <w:lang w:eastAsia="en-GB"/>
              </w:rPr>
            </w:pPr>
            <w:r>
              <w:t>• Other reasons e.g. Extended repair work to be carried out during daytime hours and the resident works nights or a recommendation is received from a doctor or nurse that decanting is necessary during repairs</w:t>
            </w:r>
          </w:p>
          <w:p w14:paraId="1142151B" w14:textId="61DC9E88" w:rsidR="00667D7A" w:rsidRPr="00BA5AF4" w:rsidRDefault="2C65E8E5" w:rsidP="5787A12A">
            <w:pPr>
              <w:rPr>
                <w:lang w:eastAsia="en-GB"/>
              </w:rPr>
            </w:pPr>
            <w:r>
              <w:t>This list is not exhaustive.</w:t>
            </w:r>
          </w:p>
        </w:tc>
      </w:tr>
      <w:tr w:rsidR="0093600A" w:rsidRPr="007D0DCD" w14:paraId="01B15A71" w14:textId="77777777" w:rsidTr="5787A12A">
        <w:tc>
          <w:tcPr>
            <w:tcW w:w="817" w:type="dxa"/>
            <w:tcBorders>
              <w:top w:val="nil"/>
              <w:left w:val="nil"/>
              <w:bottom w:val="nil"/>
              <w:right w:val="nil"/>
            </w:tcBorders>
          </w:tcPr>
          <w:p w14:paraId="450BCCCA"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70BC4509" w14:textId="77777777" w:rsidR="0093600A" w:rsidRPr="007D0DCD" w:rsidRDefault="0093600A" w:rsidP="0093600A">
            <w:pPr>
              <w:rPr>
                <w:rFonts w:ascii="Calibri" w:eastAsia="Times New Roman" w:hAnsi="Calibri" w:cs="Arial"/>
                <w:szCs w:val="20"/>
                <w:lang w:eastAsia="en-GB"/>
              </w:rPr>
            </w:pPr>
          </w:p>
        </w:tc>
      </w:tr>
      <w:tr w:rsidR="0093600A" w:rsidRPr="007D0DCD" w14:paraId="14094D75" w14:textId="77777777" w:rsidTr="5787A12A">
        <w:tc>
          <w:tcPr>
            <w:tcW w:w="817" w:type="dxa"/>
            <w:tcBorders>
              <w:top w:val="nil"/>
              <w:left w:val="nil"/>
              <w:bottom w:val="nil"/>
              <w:right w:val="nil"/>
            </w:tcBorders>
          </w:tcPr>
          <w:p w14:paraId="0BE75162" w14:textId="77777777" w:rsidR="0093600A" w:rsidRPr="005927A0" w:rsidRDefault="0093600A" w:rsidP="0093600A">
            <w:pPr>
              <w:pStyle w:val="ListParagraph"/>
              <w:numPr>
                <w:ilvl w:val="0"/>
                <w:numId w:val="5"/>
              </w:numPr>
            </w:pPr>
            <w:bookmarkStart w:id="7" w:name="_Toc476208627"/>
            <w:bookmarkEnd w:id="7"/>
          </w:p>
        </w:tc>
        <w:tc>
          <w:tcPr>
            <w:tcW w:w="8816" w:type="dxa"/>
            <w:tcBorders>
              <w:top w:val="nil"/>
              <w:left w:val="nil"/>
              <w:bottom w:val="nil"/>
              <w:right w:val="nil"/>
            </w:tcBorders>
          </w:tcPr>
          <w:p w14:paraId="4429D626" w14:textId="77777777" w:rsidR="0093600A" w:rsidRPr="009D2345" w:rsidRDefault="00E82464" w:rsidP="00601BEC">
            <w:pPr>
              <w:pStyle w:val="Heading1"/>
            </w:pPr>
            <w:bookmarkStart w:id="8" w:name="_Toc116910369"/>
            <w:r>
              <w:t>scope</w:t>
            </w:r>
            <w:bookmarkEnd w:id="8"/>
          </w:p>
        </w:tc>
      </w:tr>
      <w:tr w:rsidR="00B41462" w:rsidRPr="007D0DCD" w14:paraId="7F96447A" w14:textId="77777777" w:rsidTr="5787A12A">
        <w:tc>
          <w:tcPr>
            <w:tcW w:w="817" w:type="dxa"/>
            <w:tcBorders>
              <w:top w:val="nil"/>
              <w:left w:val="nil"/>
              <w:bottom w:val="nil"/>
              <w:right w:val="nil"/>
            </w:tcBorders>
          </w:tcPr>
          <w:p w14:paraId="14574C02" w14:textId="77777777" w:rsidR="00B41462" w:rsidRPr="00EF55CC" w:rsidRDefault="00B41462" w:rsidP="0093600A">
            <w:pPr>
              <w:rPr>
                <w:lang w:eastAsia="en-GB"/>
              </w:rPr>
            </w:pPr>
          </w:p>
        </w:tc>
        <w:tc>
          <w:tcPr>
            <w:tcW w:w="8816" w:type="dxa"/>
            <w:tcBorders>
              <w:top w:val="nil"/>
              <w:left w:val="nil"/>
              <w:bottom w:val="nil"/>
              <w:right w:val="nil"/>
            </w:tcBorders>
          </w:tcPr>
          <w:p w14:paraId="740BB11B" w14:textId="77777777" w:rsidR="00B41462" w:rsidRPr="00BA26F4" w:rsidRDefault="00B41462" w:rsidP="00BA26F4">
            <w:pPr>
              <w:rPr>
                <w:i/>
                <w:iCs/>
                <w:color w:val="A6A6A6" w:themeColor="background1" w:themeShade="A6"/>
                <w:lang w:val="en-US"/>
              </w:rPr>
            </w:pPr>
          </w:p>
        </w:tc>
      </w:tr>
      <w:tr w:rsidR="0093600A" w:rsidRPr="007D0DCD" w14:paraId="2956186D" w14:textId="77777777" w:rsidTr="5787A12A">
        <w:tc>
          <w:tcPr>
            <w:tcW w:w="817" w:type="dxa"/>
            <w:tcBorders>
              <w:top w:val="nil"/>
              <w:left w:val="nil"/>
              <w:bottom w:val="nil"/>
              <w:right w:val="nil"/>
            </w:tcBorders>
          </w:tcPr>
          <w:p w14:paraId="37A5003B"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006A0DD" w14:textId="34222F55" w:rsidR="0093600A" w:rsidRPr="007D0DCD" w:rsidRDefault="0026515F" w:rsidP="0093600A">
            <w:pPr>
              <w:rPr>
                <w:rFonts w:ascii="Calibri" w:eastAsia="Times New Roman" w:hAnsi="Calibri" w:cs="Arial"/>
                <w:szCs w:val="20"/>
                <w:lang w:eastAsia="en-GB"/>
              </w:rPr>
            </w:pPr>
            <w:r w:rsidRPr="00805E2B">
              <w:t xml:space="preserve">This policy sets </w:t>
            </w:r>
            <w:r w:rsidR="005C12E7">
              <w:t xml:space="preserve">out what </w:t>
            </w:r>
            <w:r w:rsidR="00687D5E">
              <w:t xml:space="preserve">the </w:t>
            </w:r>
            <w:r w:rsidR="005C12E7">
              <w:t>Trust</w:t>
            </w:r>
            <w:r w:rsidR="00687D5E">
              <w:t xml:space="preserve"> </w:t>
            </w:r>
            <w:r w:rsidR="005C12E7">
              <w:t xml:space="preserve">will do when it is necessary to move tenants from their homes. </w:t>
            </w:r>
          </w:p>
        </w:tc>
      </w:tr>
      <w:tr w:rsidR="00235F85" w:rsidRPr="007D0DCD" w14:paraId="22088453" w14:textId="77777777" w:rsidTr="5787A12A">
        <w:tc>
          <w:tcPr>
            <w:tcW w:w="817" w:type="dxa"/>
            <w:tcBorders>
              <w:top w:val="nil"/>
              <w:left w:val="nil"/>
              <w:bottom w:val="nil"/>
              <w:right w:val="nil"/>
            </w:tcBorders>
          </w:tcPr>
          <w:p w14:paraId="71078391" w14:textId="77777777" w:rsidR="00235F85" w:rsidRPr="00BA5AF4" w:rsidRDefault="00235F85" w:rsidP="00235F85">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84F3747" w14:textId="77777777" w:rsidR="00235F85" w:rsidRPr="007D0DCD" w:rsidRDefault="00235F85" w:rsidP="0093600A">
            <w:pPr>
              <w:rPr>
                <w:rFonts w:ascii="Calibri" w:eastAsia="Times New Roman" w:hAnsi="Calibri" w:cs="Arial"/>
                <w:szCs w:val="20"/>
                <w:lang w:eastAsia="en-GB"/>
              </w:rPr>
            </w:pPr>
          </w:p>
        </w:tc>
      </w:tr>
      <w:tr w:rsidR="00235F85" w:rsidRPr="007D0DCD" w14:paraId="269D0666" w14:textId="77777777" w:rsidTr="5787A12A">
        <w:tc>
          <w:tcPr>
            <w:tcW w:w="817" w:type="dxa"/>
            <w:tcBorders>
              <w:top w:val="nil"/>
              <w:left w:val="nil"/>
              <w:bottom w:val="nil"/>
              <w:right w:val="nil"/>
            </w:tcBorders>
          </w:tcPr>
          <w:p w14:paraId="3BC91C59" w14:textId="77777777" w:rsidR="00235F85" w:rsidRPr="00BA5AF4" w:rsidRDefault="00235F85"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39D1917" w14:textId="77777777" w:rsidR="00235F85" w:rsidRDefault="00F83968" w:rsidP="0093600A">
            <w:r w:rsidRPr="00805E2B">
              <w:t xml:space="preserve">If </w:t>
            </w:r>
            <w:r w:rsidR="00805E2B">
              <w:t>tenants</w:t>
            </w:r>
            <w:r w:rsidRPr="00805E2B">
              <w:t xml:space="preserve"> are required to move, we will aim for all tenants to be offered a suitable property for their needs. Where an individual has particular needs and their existing home has been specially adapted, we will ensure that accommodation is provided with similar adaptations. For example, tenants who live in properties larger than their housing needs require may be decanted into a smaller property that is considered suitable for them</w:t>
            </w:r>
            <w:r w:rsidR="00805E2B">
              <w:t>.</w:t>
            </w:r>
          </w:p>
          <w:p w14:paraId="2D516504" w14:textId="197EED54" w:rsidR="005C12E7" w:rsidRPr="007D0DCD" w:rsidRDefault="005C12E7" w:rsidP="0093600A">
            <w:pPr>
              <w:rPr>
                <w:rFonts w:ascii="Calibri" w:eastAsia="Times New Roman" w:hAnsi="Calibri" w:cs="Arial"/>
                <w:szCs w:val="20"/>
                <w:lang w:eastAsia="en-GB"/>
              </w:rPr>
            </w:pPr>
          </w:p>
        </w:tc>
      </w:tr>
      <w:tr w:rsidR="005C12E7" w:rsidRPr="007D0DCD" w14:paraId="3504DF2D" w14:textId="77777777" w:rsidTr="5787A12A">
        <w:tc>
          <w:tcPr>
            <w:tcW w:w="817" w:type="dxa"/>
            <w:tcBorders>
              <w:top w:val="nil"/>
              <w:left w:val="nil"/>
              <w:bottom w:val="nil"/>
              <w:right w:val="nil"/>
            </w:tcBorders>
          </w:tcPr>
          <w:p w14:paraId="476B2494" w14:textId="77777777" w:rsidR="005C12E7" w:rsidRPr="00BA5AF4" w:rsidRDefault="005C12E7"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4672BB6" w14:textId="7DCAB7DE" w:rsidR="005C12E7" w:rsidRPr="00805E2B" w:rsidRDefault="005C12E7" w:rsidP="0093600A">
            <w:r>
              <w:t>This policy references emergency decants, temporary decants whether they are planned or unplanned and permanent decants.</w:t>
            </w:r>
          </w:p>
        </w:tc>
      </w:tr>
      <w:tr w:rsidR="0093600A" w:rsidRPr="007D0DCD" w14:paraId="06789876" w14:textId="77777777" w:rsidTr="5787A12A">
        <w:tc>
          <w:tcPr>
            <w:tcW w:w="817" w:type="dxa"/>
            <w:tcBorders>
              <w:top w:val="nil"/>
              <w:left w:val="nil"/>
              <w:bottom w:val="nil"/>
              <w:right w:val="nil"/>
            </w:tcBorders>
          </w:tcPr>
          <w:p w14:paraId="7DF591EB"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50EBF090" w14:textId="77777777" w:rsidR="0093600A" w:rsidRPr="007D0DCD" w:rsidRDefault="0093600A" w:rsidP="00AD0867">
            <w:pPr>
              <w:spacing w:after="240"/>
              <w:rPr>
                <w:rFonts w:ascii="Calibri" w:eastAsia="Times New Roman" w:hAnsi="Calibri" w:cs="Arial"/>
                <w:szCs w:val="20"/>
                <w:lang w:eastAsia="en-GB"/>
              </w:rPr>
            </w:pPr>
          </w:p>
        </w:tc>
      </w:tr>
      <w:tr w:rsidR="0093600A" w:rsidRPr="007D0DCD" w14:paraId="24819931" w14:textId="77777777" w:rsidTr="5787A12A">
        <w:trPr>
          <w:trHeight w:hRule="exact" w:val="340"/>
        </w:trPr>
        <w:tc>
          <w:tcPr>
            <w:tcW w:w="817" w:type="dxa"/>
            <w:tcBorders>
              <w:top w:val="nil"/>
              <w:left w:val="nil"/>
              <w:bottom w:val="nil"/>
              <w:right w:val="nil"/>
            </w:tcBorders>
          </w:tcPr>
          <w:p w14:paraId="790F2D7E" w14:textId="77777777" w:rsidR="0093600A" w:rsidRPr="005927A0" w:rsidRDefault="0093600A" w:rsidP="0093600A">
            <w:pPr>
              <w:pStyle w:val="ListParagraph"/>
              <w:numPr>
                <w:ilvl w:val="0"/>
                <w:numId w:val="5"/>
              </w:numPr>
            </w:pPr>
            <w:bookmarkStart w:id="9" w:name="_Toc476208629"/>
            <w:bookmarkEnd w:id="9"/>
          </w:p>
        </w:tc>
        <w:tc>
          <w:tcPr>
            <w:tcW w:w="8816" w:type="dxa"/>
            <w:tcBorders>
              <w:top w:val="nil"/>
              <w:left w:val="nil"/>
              <w:bottom w:val="nil"/>
              <w:right w:val="nil"/>
            </w:tcBorders>
          </w:tcPr>
          <w:p w14:paraId="09B2C85F" w14:textId="77777777" w:rsidR="0093600A" w:rsidRDefault="00E82464" w:rsidP="00601BEC">
            <w:pPr>
              <w:pStyle w:val="Heading1"/>
              <w:rPr>
                <w:lang w:val="en-US"/>
              </w:rPr>
            </w:pPr>
            <w:bookmarkStart w:id="10" w:name="_Toc116910370"/>
            <w:r w:rsidRPr="006B16FC">
              <w:rPr>
                <w:lang w:val="en-US"/>
              </w:rPr>
              <w:t>LEGAL &amp; REGULATORY REQUIREMENTS</w:t>
            </w:r>
            <w:bookmarkEnd w:id="10"/>
          </w:p>
          <w:p w14:paraId="02341E78" w14:textId="09652E6D" w:rsidR="007B06DD" w:rsidRPr="007B06DD" w:rsidRDefault="007B06DD" w:rsidP="007B06DD">
            <w:pPr>
              <w:rPr>
                <w:lang w:val="en-US"/>
              </w:rPr>
            </w:pPr>
          </w:p>
        </w:tc>
      </w:tr>
      <w:tr w:rsidR="00B41462" w:rsidRPr="007D0DCD" w14:paraId="2DD714A9" w14:textId="77777777" w:rsidTr="5787A12A">
        <w:tc>
          <w:tcPr>
            <w:tcW w:w="817" w:type="dxa"/>
            <w:tcBorders>
              <w:top w:val="nil"/>
              <w:left w:val="nil"/>
              <w:bottom w:val="nil"/>
              <w:right w:val="nil"/>
            </w:tcBorders>
          </w:tcPr>
          <w:p w14:paraId="0874BFCA" w14:textId="77777777" w:rsidR="00B41462" w:rsidRPr="00EF55CC" w:rsidRDefault="00B41462" w:rsidP="0093600A">
            <w:pPr>
              <w:rPr>
                <w:lang w:eastAsia="en-GB"/>
              </w:rPr>
            </w:pPr>
          </w:p>
        </w:tc>
        <w:tc>
          <w:tcPr>
            <w:tcW w:w="8816" w:type="dxa"/>
            <w:tcBorders>
              <w:top w:val="nil"/>
              <w:left w:val="nil"/>
              <w:bottom w:val="nil"/>
              <w:right w:val="nil"/>
            </w:tcBorders>
          </w:tcPr>
          <w:p w14:paraId="01EE4B9A" w14:textId="77777777" w:rsidR="00B41462" w:rsidRPr="0002426D" w:rsidRDefault="00B41462" w:rsidP="0093600A">
            <w:pPr>
              <w:rPr>
                <w:i/>
                <w:iCs/>
                <w:color w:val="A6A6A6" w:themeColor="background1" w:themeShade="A6"/>
                <w:lang w:val="en-US"/>
              </w:rPr>
            </w:pPr>
          </w:p>
        </w:tc>
      </w:tr>
      <w:tr w:rsidR="0093600A" w:rsidRPr="007D0DCD" w14:paraId="10D79991" w14:textId="77777777" w:rsidTr="5787A12A">
        <w:tc>
          <w:tcPr>
            <w:tcW w:w="817" w:type="dxa"/>
            <w:tcBorders>
              <w:top w:val="nil"/>
              <w:left w:val="nil"/>
              <w:bottom w:val="nil"/>
              <w:right w:val="nil"/>
            </w:tcBorders>
          </w:tcPr>
          <w:p w14:paraId="17588246"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1" w:name="_Ref32235445"/>
          </w:p>
        </w:tc>
        <w:bookmarkEnd w:id="11"/>
        <w:tc>
          <w:tcPr>
            <w:tcW w:w="8816" w:type="dxa"/>
            <w:tcBorders>
              <w:top w:val="nil"/>
              <w:left w:val="nil"/>
              <w:bottom w:val="nil"/>
              <w:right w:val="nil"/>
            </w:tcBorders>
          </w:tcPr>
          <w:p w14:paraId="398A7C84" w14:textId="32C7A870" w:rsidR="0093600A" w:rsidRPr="00687D5E" w:rsidRDefault="00667D7A" w:rsidP="00687D5E">
            <w:r>
              <w:t>The application of this Policy ensures compliance with the outcomes of the Regulatory Framework for Social Housing in England, responsibility of the Regulator for Social Housing</w:t>
            </w:r>
            <w:r w:rsidR="00687D5E">
              <w:t xml:space="preserve">. </w:t>
            </w:r>
          </w:p>
        </w:tc>
      </w:tr>
      <w:tr w:rsidR="00687D5E" w:rsidRPr="007D0DCD" w14:paraId="1D1593B5" w14:textId="77777777" w:rsidTr="5787A12A">
        <w:tc>
          <w:tcPr>
            <w:tcW w:w="817" w:type="dxa"/>
            <w:tcBorders>
              <w:top w:val="nil"/>
              <w:left w:val="nil"/>
              <w:bottom w:val="nil"/>
              <w:right w:val="nil"/>
            </w:tcBorders>
          </w:tcPr>
          <w:p w14:paraId="5C9D1998" w14:textId="77777777" w:rsidR="00687D5E" w:rsidRPr="00687D5E" w:rsidRDefault="00687D5E" w:rsidP="00687D5E">
            <w:pPr>
              <w:rPr>
                <w:rFonts w:ascii="Calibri" w:eastAsia="Times New Roman" w:hAnsi="Calibri" w:cs="Arial"/>
                <w:szCs w:val="20"/>
                <w:lang w:eastAsia="en-GB"/>
              </w:rPr>
            </w:pPr>
          </w:p>
        </w:tc>
        <w:tc>
          <w:tcPr>
            <w:tcW w:w="8816" w:type="dxa"/>
            <w:tcBorders>
              <w:top w:val="nil"/>
              <w:left w:val="nil"/>
              <w:bottom w:val="nil"/>
              <w:right w:val="nil"/>
            </w:tcBorders>
          </w:tcPr>
          <w:p w14:paraId="11EBC5F2" w14:textId="77777777" w:rsidR="00687D5E" w:rsidRPr="00687D5E" w:rsidRDefault="00687D5E" w:rsidP="00687D5E">
            <w:pPr>
              <w:rPr>
                <w:rFonts w:ascii="Calibri" w:eastAsia="Times New Roman" w:hAnsi="Calibri" w:cs="Arial"/>
                <w:szCs w:val="20"/>
                <w:lang w:eastAsia="en-GB"/>
              </w:rPr>
            </w:pPr>
          </w:p>
        </w:tc>
      </w:tr>
      <w:tr w:rsidR="00687D5E" w:rsidRPr="007D0DCD" w14:paraId="16E2B137" w14:textId="77777777" w:rsidTr="5787A12A">
        <w:tc>
          <w:tcPr>
            <w:tcW w:w="817" w:type="dxa"/>
            <w:tcBorders>
              <w:top w:val="nil"/>
              <w:left w:val="nil"/>
              <w:bottom w:val="nil"/>
              <w:right w:val="nil"/>
            </w:tcBorders>
          </w:tcPr>
          <w:p w14:paraId="0C9471F5" w14:textId="77777777" w:rsidR="00687D5E" w:rsidRPr="003C1B99" w:rsidRDefault="00687D5E"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F51EA0C" w14:textId="5DC52B9E" w:rsidR="00687D5E" w:rsidRDefault="00687D5E" w:rsidP="00687D5E">
            <w:r>
              <w:t xml:space="preserve">Specifically, </w:t>
            </w:r>
            <w:bookmarkStart w:id="12" w:name="_Hlk172275227"/>
            <w:r>
              <w:t>to the required outcomes of the tenancy standard:</w:t>
            </w:r>
          </w:p>
          <w:p w14:paraId="20F661C0" w14:textId="77777777" w:rsidR="00AD0867" w:rsidRDefault="00AD0867" w:rsidP="00687D5E"/>
          <w:p w14:paraId="548C8A14" w14:textId="77777777" w:rsidR="00687D5E" w:rsidRDefault="00687D5E" w:rsidP="00687D5E">
            <w:r>
              <w:t xml:space="preserve">1.3.1: Registered providers shall offer tenancies or terms of occupation which are compatible with the purpose of the accommodation, the needs of individual households, the sustainability of the community, and the efficient use of their housing stock </w:t>
            </w:r>
            <w:bookmarkEnd w:id="12"/>
          </w:p>
          <w:p w14:paraId="35E46AD1" w14:textId="70272842" w:rsidR="00687D5E" w:rsidRDefault="00687D5E" w:rsidP="0093600A">
            <w:r>
              <w:t>1.3.2: Registered Providers shall meet all applicable statutory and legal requirements in relation to the form and use of tenancy agreements or terms of occupation.</w:t>
            </w:r>
          </w:p>
        </w:tc>
      </w:tr>
      <w:tr w:rsidR="00687D5E" w:rsidRPr="007D0DCD" w14:paraId="0FFD29D3" w14:textId="77777777" w:rsidTr="5787A12A">
        <w:tc>
          <w:tcPr>
            <w:tcW w:w="817" w:type="dxa"/>
            <w:tcBorders>
              <w:top w:val="nil"/>
              <w:left w:val="nil"/>
              <w:bottom w:val="nil"/>
              <w:right w:val="nil"/>
            </w:tcBorders>
          </w:tcPr>
          <w:p w14:paraId="3A03457C" w14:textId="77777777" w:rsidR="00687D5E" w:rsidRPr="003C1B99" w:rsidRDefault="00687D5E"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0CA3BE0" w14:textId="7BADE291" w:rsidR="00687D5E" w:rsidRDefault="00687D5E" w:rsidP="00687D5E">
            <w:pPr>
              <w:rPr>
                <w:rFonts w:ascii="Calibri" w:eastAsia="Calibri" w:hAnsi="Calibri"/>
              </w:rPr>
            </w:pPr>
            <w:r>
              <w:rPr>
                <w:rFonts w:ascii="Calibri" w:eastAsia="Calibri" w:hAnsi="Calibri"/>
              </w:rPr>
              <w:t>The Tenancy Standard goes into further detail with specific required outcomes:</w:t>
            </w:r>
          </w:p>
          <w:p w14:paraId="1967E515" w14:textId="77777777" w:rsidR="00687D5E" w:rsidRDefault="00687D5E" w:rsidP="00687D5E">
            <w:pPr>
              <w:rPr>
                <w:rFonts w:ascii="Calibri" w:eastAsia="Calibri" w:hAnsi="Calibri"/>
              </w:rPr>
            </w:pPr>
          </w:p>
          <w:p w14:paraId="41CC0EE6" w14:textId="77777777" w:rsidR="00687D5E" w:rsidRDefault="00687D5E" w:rsidP="00687D5E">
            <w:pPr>
              <w:rPr>
                <w:rFonts w:ascii="Calibri" w:eastAsia="Calibri" w:hAnsi="Calibri"/>
              </w:rPr>
            </w:pPr>
            <w:r w:rsidRPr="009A04B8">
              <w:rPr>
                <w:rFonts w:ascii="Calibri" w:eastAsia="Calibri" w:hAnsi="Calibri"/>
              </w:rPr>
              <w:t>2.1.2 Registered providers must seek to allocate homes that are designated, designed, or adapted to meet specific needs in a way that is compatible with the purpose of the housing.</w:t>
            </w:r>
          </w:p>
          <w:p w14:paraId="4C647734" w14:textId="77777777" w:rsidR="00687D5E" w:rsidRDefault="00687D5E" w:rsidP="00687D5E">
            <w:pPr>
              <w:rPr>
                <w:rFonts w:ascii="Calibri" w:eastAsia="Calibri" w:hAnsi="Calibri"/>
              </w:rPr>
            </w:pPr>
          </w:p>
          <w:p w14:paraId="453DE413" w14:textId="77777777" w:rsidR="00687D5E" w:rsidRDefault="00687D5E" w:rsidP="00687D5E">
            <w:pPr>
              <w:rPr>
                <w:rFonts w:ascii="Calibri" w:eastAsia="Calibri" w:hAnsi="Calibri"/>
              </w:rPr>
            </w:pPr>
            <w:r>
              <w:rPr>
                <w:rFonts w:ascii="Calibri" w:eastAsia="Calibri" w:hAnsi="Calibri"/>
              </w:rPr>
              <w:t>2.3.1:</w:t>
            </w:r>
            <w:r w:rsidRPr="005B6C88">
              <w:rPr>
                <w:rFonts w:ascii="Calibri" w:eastAsia="Calibri" w:hAnsi="Calibri"/>
              </w:rPr>
              <w:t xml:space="preserve">Registered providers shall publish clear and accessible policies which outline their approach to tenancy management, including interventions to sustain tenancies and prevent unnecessary evictions, and tackling tenancy fraud, and set out: </w:t>
            </w:r>
          </w:p>
          <w:p w14:paraId="7263931A" w14:textId="77777777" w:rsidR="00687D5E" w:rsidRPr="00687D5E" w:rsidRDefault="00687D5E" w:rsidP="00687D5E">
            <w:pPr>
              <w:pStyle w:val="ListParagraph"/>
              <w:numPr>
                <w:ilvl w:val="0"/>
                <w:numId w:val="25"/>
              </w:numPr>
              <w:jc w:val="left"/>
              <w:rPr>
                <w:rFonts w:eastAsia="Calibri"/>
                <w:b w:val="0"/>
                <w:color w:val="auto"/>
              </w:rPr>
            </w:pPr>
            <w:r w:rsidRPr="00687D5E">
              <w:rPr>
                <w:rFonts w:eastAsia="Calibri"/>
                <w:b w:val="0"/>
                <w:color w:val="auto"/>
              </w:rPr>
              <w:t>The type of tenancies they will grant.</w:t>
            </w:r>
          </w:p>
          <w:p w14:paraId="710F435B" w14:textId="77777777" w:rsidR="00687D5E" w:rsidRDefault="00687D5E" w:rsidP="00687D5E">
            <w:pPr>
              <w:rPr>
                <w:rFonts w:ascii="Calibri" w:eastAsia="Calibri" w:hAnsi="Calibri"/>
              </w:rPr>
            </w:pPr>
          </w:p>
          <w:p w14:paraId="7197DE16" w14:textId="77777777" w:rsidR="00687D5E" w:rsidRDefault="00687D5E" w:rsidP="00687D5E">
            <w:pPr>
              <w:rPr>
                <w:rFonts w:ascii="Calibri" w:eastAsia="Calibri" w:hAnsi="Calibri"/>
              </w:rPr>
            </w:pPr>
            <w:r>
              <w:rPr>
                <w:rFonts w:ascii="Calibri" w:eastAsia="Calibri" w:hAnsi="Calibri"/>
              </w:rPr>
              <w:t>2</w:t>
            </w:r>
            <w:r w:rsidRPr="005B6C88">
              <w:rPr>
                <w:rFonts w:ascii="Calibri" w:eastAsia="Calibri" w:hAnsi="Calibri"/>
              </w:rPr>
              <w:t>.3.5 Registered providers shall grant those who were social housing tenants on the day on which section 154 of the Localism Act 2011 comes into force, and have remained social housing tenants since that date, a tenancy with no less security where they choose to move to another social rented home, whether with the same or another landlord. (This requirement does not apply where tenants choose to move to accommodation let on Affordable Rent terms).</w:t>
            </w:r>
          </w:p>
          <w:p w14:paraId="6A2FDEB6" w14:textId="77777777" w:rsidR="00687D5E" w:rsidRDefault="00687D5E" w:rsidP="00687D5E">
            <w:pPr>
              <w:rPr>
                <w:rFonts w:ascii="Calibri" w:eastAsia="Calibri" w:hAnsi="Calibri"/>
              </w:rPr>
            </w:pPr>
          </w:p>
          <w:p w14:paraId="2A8D7639" w14:textId="497FDB89" w:rsidR="00687D5E" w:rsidRDefault="00687D5E" w:rsidP="00687D5E">
            <w:r w:rsidRPr="009A04B8">
              <w:rPr>
                <w:rFonts w:ascii="Calibri" w:eastAsia="Calibri" w:hAnsi="Calibri"/>
              </w:rPr>
              <w:t>2.3.6 Registered providers shall grant tenants who have been moved into alternative accommodation during any redevelopment or other works a tenancy with no less security of tenure on their return to settled accommodation.</w:t>
            </w:r>
          </w:p>
        </w:tc>
      </w:tr>
      <w:tr w:rsidR="0093600A" w:rsidRPr="007D0DCD" w14:paraId="2E66E7F5" w14:textId="77777777" w:rsidTr="5787A12A">
        <w:tc>
          <w:tcPr>
            <w:tcW w:w="817" w:type="dxa"/>
            <w:tcBorders>
              <w:top w:val="nil"/>
              <w:left w:val="nil"/>
              <w:bottom w:val="nil"/>
              <w:right w:val="nil"/>
            </w:tcBorders>
          </w:tcPr>
          <w:p w14:paraId="76811CB5"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52374BE1" w14:textId="77777777" w:rsidR="0093600A" w:rsidRPr="007D0DCD" w:rsidRDefault="0093600A" w:rsidP="0093600A">
            <w:pPr>
              <w:rPr>
                <w:rFonts w:ascii="Calibri" w:eastAsia="Times New Roman" w:hAnsi="Calibri" w:cs="Arial"/>
                <w:szCs w:val="20"/>
                <w:lang w:eastAsia="en-GB"/>
              </w:rPr>
            </w:pPr>
          </w:p>
        </w:tc>
      </w:tr>
      <w:tr w:rsidR="0093600A" w:rsidRPr="007D0DCD" w14:paraId="7020ADC0" w14:textId="77777777" w:rsidTr="5787A12A">
        <w:tc>
          <w:tcPr>
            <w:tcW w:w="817" w:type="dxa"/>
            <w:tcBorders>
              <w:top w:val="nil"/>
              <w:left w:val="nil"/>
              <w:bottom w:val="nil"/>
              <w:right w:val="nil"/>
            </w:tcBorders>
          </w:tcPr>
          <w:p w14:paraId="3CDD6717"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3" w:name="_Ref32236292"/>
          </w:p>
        </w:tc>
        <w:bookmarkEnd w:id="13"/>
        <w:tc>
          <w:tcPr>
            <w:tcW w:w="8816" w:type="dxa"/>
            <w:tcBorders>
              <w:top w:val="nil"/>
              <w:left w:val="nil"/>
              <w:bottom w:val="nil"/>
              <w:right w:val="nil"/>
            </w:tcBorders>
          </w:tcPr>
          <w:p w14:paraId="220EE376" w14:textId="77777777" w:rsidR="00667D7A" w:rsidRDefault="00667D7A" w:rsidP="0093600A">
            <w:r>
              <w:t xml:space="preserve">This policy supports the Trust to meet legal requirements in the management of decanting tenants as set out in: </w:t>
            </w:r>
          </w:p>
          <w:p w14:paraId="127D998C" w14:textId="77777777" w:rsidR="00667D7A" w:rsidRDefault="00667D7A" w:rsidP="0093600A">
            <w:r>
              <w:t xml:space="preserve">• The Housing Act 1985 </w:t>
            </w:r>
          </w:p>
          <w:p w14:paraId="5AB0B7F1" w14:textId="77777777" w:rsidR="00667D7A" w:rsidRDefault="00667D7A" w:rsidP="0093600A">
            <w:r>
              <w:t xml:space="preserve">• The Housing Act 1988 </w:t>
            </w:r>
          </w:p>
          <w:p w14:paraId="754D794A" w14:textId="77777777" w:rsidR="00667D7A" w:rsidRDefault="00667D7A" w:rsidP="0093600A">
            <w:r>
              <w:t xml:space="preserve">• Planning and Compensation Act 1991 </w:t>
            </w:r>
          </w:p>
          <w:p w14:paraId="19BF759A" w14:textId="24E55E5F" w:rsidR="00667D7A" w:rsidRDefault="00667D7A" w:rsidP="0093600A">
            <w:r>
              <w:t xml:space="preserve">• </w:t>
            </w:r>
            <w:proofErr w:type="spellStart"/>
            <w:r>
              <w:t>Homeloss</w:t>
            </w:r>
            <w:proofErr w:type="spellEnd"/>
            <w:r>
              <w:t xml:space="preserve"> Payment (Prescribed Amount) (England) Regulations 2023 </w:t>
            </w:r>
          </w:p>
          <w:p w14:paraId="14C8A2F8" w14:textId="38330E7C" w:rsidR="0093600A" w:rsidRPr="00F72317" w:rsidRDefault="00667D7A" w:rsidP="0093600A">
            <w:pPr>
              <w:rPr>
                <w:rFonts w:eastAsia="Times New Roman" w:cs="Arial"/>
                <w:color w:val="000000" w:themeColor="text1"/>
                <w:szCs w:val="20"/>
                <w:lang w:eastAsia="en-GB"/>
              </w:rPr>
            </w:pPr>
            <w:r>
              <w:t>• Land and Compensation Act 1973</w:t>
            </w:r>
          </w:p>
        </w:tc>
      </w:tr>
      <w:tr w:rsidR="0093600A" w:rsidRPr="007D0DCD" w14:paraId="7BCBD791" w14:textId="77777777" w:rsidTr="5787A12A">
        <w:tc>
          <w:tcPr>
            <w:tcW w:w="817" w:type="dxa"/>
            <w:tcBorders>
              <w:top w:val="nil"/>
              <w:left w:val="nil"/>
              <w:bottom w:val="nil"/>
              <w:right w:val="nil"/>
            </w:tcBorders>
          </w:tcPr>
          <w:p w14:paraId="727C8C7E"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2F26BA75" w14:textId="77777777" w:rsidR="0093600A" w:rsidRPr="007D0DCD" w:rsidRDefault="0093600A" w:rsidP="0093600A">
            <w:pPr>
              <w:rPr>
                <w:rFonts w:ascii="Calibri" w:eastAsia="Times New Roman" w:hAnsi="Calibri" w:cs="Arial"/>
                <w:szCs w:val="20"/>
                <w:lang w:eastAsia="en-GB"/>
              </w:rPr>
            </w:pPr>
          </w:p>
        </w:tc>
      </w:tr>
      <w:tr w:rsidR="0093600A" w:rsidRPr="007D0DCD" w14:paraId="2A233333" w14:textId="77777777" w:rsidTr="5787A12A">
        <w:tc>
          <w:tcPr>
            <w:tcW w:w="817" w:type="dxa"/>
            <w:tcBorders>
              <w:top w:val="nil"/>
              <w:left w:val="nil"/>
              <w:bottom w:val="nil"/>
              <w:right w:val="nil"/>
            </w:tcBorders>
          </w:tcPr>
          <w:p w14:paraId="5619D74D"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4" w:name="_Ref32236206"/>
          </w:p>
        </w:tc>
        <w:bookmarkEnd w:id="14"/>
        <w:tc>
          <w:tcPr>
            <w:tcW w:w="8816" w:type="dxa"/>
            <w:tcBorders>
              <w:top w:val="nil"/>
              <w:left w:val="nil"/>
              <w:bottom w:val="nil"/>
              <w:right w:val="nil"/>
            </w:tcBorders>
          </w:tcPr>
          <w:p w14:paraId="3865881B" w14:textId="080577B2" w:rsidR="0093600A" w:rsidRPr="00CC18FE" w:rsidRDefault="007F470F" w:rsidP="00DD6A8A">
            <w:pPr>
              <w:pStyle w:val="ListBullet1"/>
              <w:numPr>
                <w:ilvl w:val="0"/>
                <w:numId w:val="0"/>
              </w:numPr>
              <w:rPr>
                <w:rFonts w:ascii="Calibri" w:hAnsi="Calibri"/>
                <w:lang w:eastAsia="en-GB"/>
              </w:rPr>
            </w:pPr>
            <w:r>
              <w:t xml:space="preserve">This policy ensures that customers are offered suitable alternative accommodation where they are unable to remain in their home. The needs of the household will be considered alongside the availability of Peaks </w:t>
            </w:r>
            <w:r w:rsidR="00BC6A39">
              <w:t>&amp;</w:t>
            </w:r>
            <w:r>
              <w:t xml:space="preserve"> Plains housing stock</w:t>
            </w:r>
            <w:r w:rsidR="0051129B">
              <w:t xml:space="preserve">, </w:t>
            </w:r>
            <w:r w:rsidR="00687D5E">
              <w:t>the ability of the tenant(s) to stay with family or friends, and availability of temporary accommodation from the Local Authority,</w:t>
            </w:r>
            <w:r w:rsidR="0051129B">
              <w:t xml:space="preserve"> </w:t>
            </w:r>
            <w:r w:rsidR="00803956">
              <w:t>for exa</w:t>
            </w:r>
            <w:r w:rsidR="00994AFD">
              <w:t>mple</w:t>
            </w:r>
            <w:r w:rsidR="00687D5E">
              <w:t>.</w:t>
            </w:r>
            <w:r w:rsidR="60FFD23F">
              <w:t xml:space="preserve"> </w:t>
            </w:r>
          </w:p>
        </w:tc>
      </w:tr>
      <w:tr w:rsidR="00235F85" w:rsidRPr="007D0DCD" w14:paraId="2ABACF88" w14:textId="77777777" w:rsidTr="5787A12A">
        <w:tc>
          <w:tcPr>
            <w:tcW w:w="817" w:type="dxa"/>
            <w:tcBorders>
              <w:top w:val="nil"/>
              <w:left w:val="nil"/>
              <w:bottom w:val="nil"/>
              <w:right w:val="nil"/>
            </w:tcBorders>
          </w:tcPr>
          <w:p w14:paraId="3CCA549E" w14:textId="77777777" w:rsidR="00235F85" w:rsidRPr="003C1B99" w:rsidRDefault="00235F85" w:rsidP="00BB4B5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91D0E4F" w14:textId="77777777" w:rsidR="00235F85" w:rsidRPr="00CC18FE" w:rsidRDefault="00235F85" w:rsidP="00DD6A8A">
            <w:pPr>
              <w:pStyle w:val="ListBullet1"/>
              <w:numPr>
                <w:ilvl w:val="0"/>
                <w:numId w:val="0"/>
              </w:numPr>
              <w:rPr>
                <w:rFonts w:ascii="Calibri" w:hAnsi="Calibri"/>
                <w:lang w:eastAsia="en-GB"/>
              </w:rPr>
            </w:pPr>
          </w:p>
        </w:tc>
      </w:tr>
      <w:tr w:rsidR="0075576F" w:rsidRPr="007D0DCD" w14:paraId="5A2FB5D9" w14:textId="77777777" w:rsidTr="5787A12A">
        <w:trPr>
          <w:trHeight w:hRule="exact" w:val="340"/>
        </w:trPr>
        <w:tc>
          <w:tcPr>
            <w:tcW w:w="817" w:type="dxa"/>
            <w:tcBorders>
              <w:top w:val="nil"/>
              <w:left w:val="nil"/>
              <w:bottom w:val="nil"/>
              <w:right w:val="nil"/>
            </w:tcBorders>
          </w:tcPr>
          <w:p w14:paraId="407AA3E9" w14:textId="77777777" w:rsidR="0075576F" w:rsidRPr="005927A0" w:rsidRDefault="0075576F" w:rsidP="000F0AE7">
            <w:pPr>
              <w:pStyle w:val="ListParagraph"/>
              <w:numPr>
                <w:ilvl w:val="0"/>
                <w:numId w:val="5"/>
              </w:numPr>
            </w:pPr>
          </w:p>
        </w:tc>
        <w:tc>
          <w:tcPr>
            <w:tcW w:w="8816" w:type="dxa"/>
            <w:tcBorders>
              <w:top w:val="nil"/>
              <w:left w:val="nil"/>
              <w:bottom w:val="nil"/>
              <w:right w:val="nil"/>
            </w:tcBorders>
          </w:tcPr>
          <w:p w14:paraId="3BEEFB69" w14:textId="1CBBAC5F" w:rsidR="0075576F" w:rsidRPr="000D655A" w:rsidRDefault="007B06DD" w:rsidP="000F0AE7">
            <w:pPr>
              <w:pStyle w:val="Heading1"/>
              <w:rPr>
                <w:lang w:val="en-US"/>
              </w:rPr>
            </w:pPr>
            <w:bookmarkStart w:id="15" w:name="_Toc116910371"/>
            <w:r>
              <w:rPr>
                <w:lang w:val="en-US"/>
              </w:rPr>
              <w:t>definitions</w:t>
            </w:r>
            <w:bookmarkEnd w:id="15"/>
          </w:p>
        </w:tc>
      </w:tr>
      <w:tr w:rsidR="00B41462" w:rsidRPr="007D0DCD" w14:paraId="2FF60D77" w14:textId="77777777" w:rsidTr="5787A12A">
        <w:tc>
          <w:tcPr>
            <w:tcW w:w="817" w:type="dxa"/>
            <w:tcBorders>
              <w:top w:val="nil"/>
              <w:left w:val="nil"/>
              <w:bottom w:val="nil"/>
              <w:right w:val="nil"/>
            </w:tcBorders>
          </w:tcPr>
          <w:p w14:paraId="097EBA89" w14:textId="77777777" w:rsidR="00B41462" w:rsidRPr="00EF55CC" w:rsidRDefault="00B41462" w:rsidP="000F0AE7">
            <w:pPr>
              <w:rPr>
                <w:lang w:eastAsia="en-GB"/>
              </w:rPr>
            </w:pPr>
          </w:p>
        </w:tc>
        <w:tc>
          <w:tcPr>
            <w:tcW w:w="8816" w:type="dxa"/>
            <w:tcBorders>
              <w:top w:val="nil"/>
              <w:left w:val="nil"/>
              <w:bottom w:val="nil"/>
              <w:right w:val="nil"/>
            </w:tcBorders>
          </w:tcPr>
          <w:p w14:paraId="5DC6D569" w14:textId="77777777" w:rsidR="00B41462" w:rsidRPr="00BA26F4" w:rsidRDefault="00B41462" w:rsidP="000F0AE7">
            <w:pPr>
              <w:rPr>
                <w:i/>
                <w:iCs/>
                <w:color w:val="A6A6A6" w:themeColor="background1" w:themeShade="A6"/>
                <w:lang w:val="en-US"/>
              </w:rPr>
            </w:pPr>
          </w:p>
        </w:tc>
      </w:tr>
      <w:tr w:rsidR="0075576F" w:rsidRPr="007D0DCD" w14:paraId="3FCF2499" w14:textId="77777777" w:rsidTr="5787A12A">
        <w:tc>
          <w:tcPr>
            <w:tcW w:w="817" w:type="dxa"/>
            <w:tcBorders>
              <w:top w:val="nil"/>
              <w:left w:val="nil"/>
              <w:bottom w:val="nil"/>
              <w:right w:val="nil"/>
            </w:tcBorders>
          </w:tcPr>
          <w:p w14:paraId="77DE40F2" w14:textId="77777777" w:rsidR="0075576F" w:rsidRPr="003C1B99" w:rsidRDefault="0075576F"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CFB0BAE" w14:textId="77777777" w:rsidR="00667D7A" w:rsidRDefault="00667D7A" w:rsidP="000F0AE7">
            <w:r>
              <w:t xml:space="preserve">Decanting is when we require that a tenant be temporarily or permanently moved from their current dwelling. It applies in the following circumstances: </w:t>
            </w:r>
          </w:p>
          <w:p w14:paraId="58E5E0FE" w14:textId="75AFEAC8" w:rsidR="00667D7A" w:rsidRPr="00663BFC" w:rsidRDefault="00667D7A" w:rsidP="00663BFC">
            <w:pPr>
              <w:pStyle w:val="ListBullet1"/>
              <w:ind w:left="346"/>
            </w:pPr>
            <w:r w:rsidRPr="00663BFC">
              <w:t xml:space="preserve">Major repair works (e.g., treating dry rot, woodworm, chemical treatments, gas leaks, </w:t>
            </w:r>
            <w:r w:rsidR="008F7FD9" w:rsidRPr="00663BFC">
              <w:t>extreme damp and mould</w:t>
            </w:r>
            <w:r w:rsidRPr="00663BFC">
              <w:t xml:space="preserve"> etc.). </w:t>
            </w:r>
          </w:p>
          <w:p w14:paraId="2FCF9933" w14:textId="14C14405" w:rsidR="00667D7A" w:rsidRPr="00663BFC" w:rsidRDefault="00667D7A" w:rsidP="00663BFC">
            <w:pPr>
              <w:pStyle w:val="ListBullet1"/>
              <w:ind w:left="346"/>
            </w:pPr>
            <w:r w:rsidRPr="00663BFC">
              <w:t xml:space="preserve">Structural work to the property. </w:t>
            </w:r>
          </w:p>
          <w:p w14:paraId="6C9763F9" w14:textId="6C511D3E" w:rsidR="00667D7A" w:rsidRPr="00663BFC" w:rsidRDefault="00667D7A" w:rsidP="00663BFC">
            <w:pPr>
              <w:pStyle w:val="ListBullet1"/>
              <w:ind w:left="346"/>
            </w:pPr>
            <w:r w:rsidRPr="00663BFC">
              <w:t xml:space="preserve">Major improvements or refurbishments which are extensive and leave the property uninhabitable. This does not include programmes such as kitchen and bathroom refurbishment, full rewiring works, damp proof courses etc. </w:t>
            </w:r>
          </w:p>
          <w:p w14:paraId="246E8ACA" w14:textId="707CA10E" w:rsidR="0075576F" w:rsidRPr="00663BFC" w:rsidRDefault="00667D7A" w:rsidP="00663BFC">
            <w:pPr>
              <w:pStyle w:val="ListBullet1"/>
              <w:ind w:left="346"/>
              <w:rPr>
                <w:rFonts w:ascii="Calibri" w:eastAsia="Times New Roman" w:hAnsi="Calibri" w:cs="Arial"/>
                <w:szCs w:val="20"/>
                <w:lang w:eastAsia="en-GB"/>
              </w:rPr>
            </w:pPr>
            <w:r w:rsidRPr="00663BFC">
              <w:t>When any works carried out with the tenant in situ would exacerbate any medical condition that is evidenced by the tenant.</w:t>
            </w:r>
          </w:p>
        </w:tc>
      </w:tr>
      <w:tr w:rsidR="00687D5E" w:rsidRPr="007D0DCD" w14:paraId="516C833D" w14:textId="77777777" w:rsidTr="5787A12A">
        <w:tc>
          <w:tcPr>
            <w:tcW w:w="817" w:type="dxa"/>
            <w:tcBorders>
              <w:top w:val="nil"/>
              <w:left w:val="nil"/>
              <w:bottom w:val="nil"/>
              <w:right w:val="nil"/>
            </w:tcBorders>
          </w:tcPr>
          <w:p w14:paraId="177EDA0B" w14:textId="77777777" w:rsidR="00687D5E" w:rsidRPr="00687D5E" w:rsidRDefault="00687D5E" w:rsidP="00687D5E">
            <w:pPr>
              <w:rPr>
                <w:rFonts w:ascii="Calibri" w:eastAsia="Times New Roman" w:hAnsi="Calibri" w:cs="Arial"/>
                <w:szCs w:val="20"/>
                <w:lang w:eastAsia="en-GB"/>
              </w:rPr>
            </w:pPr>
          </w:p>
        </w:tc>
        <w:tc>
          <w:tcPr>
            <w:tcW w:w="8816" w:type="dxa"/>
            <w:tcBorders>
              <w:top w:val="nil"/>
              <w:left w:val="nil"/>
              <w:bottom w:val="nil"/>
              <w:right w:val="nil"/>
            </w:tcBorders>
          </w:tcPr>
          <w:p w14:paraId="787F9463" w14:textId="77777777" w:rsidR="00687D5E" w:rsidRPr="00687D5E" w:rsidRDefault="00687D5E" w:rsidP="00687D5E">
            <w:pPr>
              <w:rPr>
                <w:rFonts w:ascii="Calibri" w:eastAsia="Times New Roman" w:hAnsi="Calibri" w:cs="Arial"/>
                <w:szCs w:val="20"/>
                <w:lang w:eastAsia="en-GB"/>
              </w:rPr>
            </w:pPr>
          </w:p>
        </w:tc>
      </w:tr>
      <w:tr w:rsidR="00687D5E" w:rsidRPr="007D0DCD" w14:paraId="5235AF94" w14:textId="77777777" w:rsidTr="5787A12A">
        <w:tc>
          <w:tcPr>
            <w:tcW w:w="817" w:type="dxa"/>
            <w:tcBorders>
              <w:top w:val="nil"/>
              <w:left w:val="nil"/>
              <w:bottom w:val="nil"/>
              <w:right w:val="nil"/>
            </w:tcBorders>
          </w:tcPr>
          <w:p w14:paraId="4F67CEA9" w14:textId="77777777" w:rsidR="00687D5E" w:rsidRPr="003C1B99" w:rsidRDefault="00687D5E"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A8B1229" w14:textId="77777777" w:rsidR="00687D5E" w:rsidRPr="00687D5E" w:rsidRDefault="00687D5E" w:rsidP="00687D5E">
            <w:r w:rsidRPr="00687D5E">
              <w:t xml:space="preserve">A permanent decant would need to take place in the following circumstances: </w:t>
            </w:r>
          </w:p>
          <w:p w14:paraId="2677DAC8" w14:textId="645F0D09" w:rsidR="00687D5E" w:rsidRPr="00687D5E" w:rsidRDefault="00687D5E" w:rsidP="00663BFC">
            <w:pPr>
              <w:pStyle w:val="ListBullet1"/>
              <w:ind w:left="346"/>
            </w:pPr>
            <w:r w:rsidRPr="00687D5E">
              <w:t xml:space="preserve">The property is in a major redevelopment area and the Trust needs possession of the property to either redevelop or demolish the property. </w:t>
            </w:r>
          </w:p>
          <w:p w14:paraId="5F10F270" w14:textId="3D6FB872" w:rsidR="00687D5E" w:rsidRPr="00687D5E" w:rsidRDefault="00663BFC" w:rsidP="00663BFC">
            <w:pPr>
              <w:pStyle w:val="ListBullet1"/>
              <w:ind w:left="346"/>
            </w:pPr>
            <w:r>
              <w:t>T</w:t>
            </w:r>
            <w:r w:rsidR="00687D5E" w:rsidRPr="00687D5E">
              <w:t xml:space="preserve">he property requires substantial modification (e.g., three small properties may be remodelled to make two larger properties). </w:t>
            </w:r>
          </w:p>
          <w:p w14:paraId="28318CFA" w14:textId="3C449179" w:rsidR="00687D5E" w:rsidRPr="00687D5E" w:rsidRDefault="00687D5E" w:rsidP="00663BFC">
            <w:pPr>
              <w:pStyle w:val="ListBullet1"/>
              <w:ind w:left="346"/>
            </w:pPr>
            <w:r w:rsidRPr="00687D5E">
              <w:t>The property cannot be refurbished to a standard that meets the minimum energy efficiency or zero carbon standards.</w:t>
            </w:r>
          </w:p>
          <w:p w14:paraId="5C70107F" w14:textId="2CE23F2E" w:rsidR="00687D5E" w:rsidRDefault="00687D5E" w:rsidP="00663BFC">
            <w:pPr>
              <w:pStyle w:val="ListBullet1"/>
              <w:ind w:left="346"/>
            </w:pPr>
            <w:r w:rsidRPr="00687D5E">
              <w:t>The property forms part of a building that is undergoing a change of use.</w:t>
            </w:r>
          </w:p>
        </w:tc>
      </w:tr>
      <w:tr w:rsidR="0075576F" w:rsidRPr="007D0DCD" w14:paraId="40C9F605" w14:textId="77777777" w:rsidTr="5787A12A">
        <w:tc>
          <w:tcPr>
            <w:tcW w:w="817" w:type="dxa"/>
            <w:tcBorders>
              <w:top w:val="nil"/>
              <w:left w:val="nil"/>
              <w:bottom w:val="nil"/>
              <w:right w:val="nil"/>
            </w:tcBorders>
          </w:tcPr>
          <w:p w14:paraId="4A9F8DC1" w14:textId="77777777" w:rsidR="0075576F" w:rsidRPr="007D0DCD" w:rsidRDefault="0075576F" w:rsidP="000F0AE7">
            <w:pPr>
              <w:rPr>
                <w:rFonts w:ascii="Calibri" w:eastAsia="Times New Roman" w:hAnsi="Calibri" w:cs="Arial"/>
                <w:szCs w:val="20"/>
                <w:lang w:eastAsia="en-GB"/>
              </w:rPr>
            </w:pPr>
          </w:p>
        </w:tc>
        <w:tc>
          <w:tcPr>
            <w:tcW w:w="8816" w:type="dxa"/>
            <w:tcBorders>
              <w:top w:val="nil"/>
              <w:left w:val="nil"/>
              <w:bottom w:val="nil"/>
              <w:right w:val="nil"/>
            </w:tcBorders>
          </w:tcPr>
          <w:p w14:paraId="660DF702" w14:textId="77777777" w:rsidR="0075576F" w:rsidRPr="007D0DCD" w:rsidRDefault="0075576F" w:rsidP="000F0AE7">
            <w:pPr>
              <w:rPr>
                <w:rFonts w:ascii="Calibri" w:eastAsia="Times New Roman" w:hAnsi="Calibri" w:cs="Arial"/>
                <w:szCs w:val="20"/>
                <w:lang w:eastAsia="en-GB"/>
              </w:rPr>
            </w:pPr>
          </w:p>
        </w:tc>
      </w:tr>
      <w:tr w:rsidR="00805E2B" w:rsidRPr="007D0DCD" w14:paraId="685FB00B" w14:textId="77777777" w:rsidTr="5787A12A">
        <w:tc>
          <w:tcPr>
            <w:tcW w:w="817" w:type="dxa"/>
            <w:tcBorders>
              <w:top w:val="nil"/>
              <w:left w:val="nil"/>
              <w:bottom w:val="nil"/>
              <w:right w:val="nil"/>
            </w:tcBorders>
          </w:tcPr>
          <w:p w14:paraId="346FFCA5" w14:textId="77777777" w:rsidR="00805E2B" w:rsidRPr="003C1B99" w:rsidRDefault="00805E2B"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73C1E35" w14:textId="35D1466F" w:rsidR="00805E2B" w:rsidRDefault="00805E2B" w:rsidP="000F0AE7">
            <w:r>
              <w:t>A t</w:t>
            </w:r>
            <w:r w:rsidRPr="00805E2B">
              <w:t xml:space="preserve">emporary </w:t>
            </w:r>
            <w:r>
              <w:t>d</w:t>
            </w:r>
            <w:r w:rsidRPr="00805E2B">
              <w:t xml:space="preserve">ecant </w:t>
            </w:r>
            <w:r>
              <w:t>would be when a tenant</w:t>
            </w:r>
            <w:r w:rsidRPr="00805E2B">
              <w:t xml:space="preserve"> is moved out of their property, to enable work on the property to be carried out, with the intention of returning them to the property at the earliest opportunity.</w:t>
            </w:r>
          </w:p>
        </w:tc>
      </w:tr>
      <w:tr w:rsidR="00687D5E" w:rsidRPr="007D0DCD" w14:paraId="381C0DA8" w14:textId="77777777" w:rsidTr="5787A12A">
        <w:tc>
          <w:tcPr>
            <w:tcW w:w="817" w:type="dxa"/>
            <w:tcBorders>
              <w:top w:val="nil"/>
              <w:left w:val="nil"/>
              <w:bottom w:val="nil"/>
              <w:right w:val="nil"/>
            </w:tcBorders>
          </w:tcPr>
          <w:p w14:paraId="546FF175" w14:textId="77777777" w:rsidR="00687D5E" w:rsidRPr="00687D5E" w:rsidRDefault="00687D5E" w:rsidP="00687D5E">
            <w:pPr>
              <w:rPr>
                <w:rFonts w:ascii="Calibri" w:eastAsia="Times New Roman" w:hAnsi="Calibri" w:cs="Arial"/>
                <w:szCs w:val="20"/>
                <w:lang w:eastAsia="en-GB"/>
              </w:rPr>
            </w:pPr>
          </w:p>
        </w:tc>
        <w:tc>
          <w:tcPr>
            <w:tcW w:w="8816" w:type="dxa"/>
            <w:tcBorders>
              <w:top w:val="nil"/>
              <w:left w:val="nil"/>
              <w:bottom w:val="nil"/>
              <w:right w:val="nil"/>
            </w:tcBorders>
          </w:tcPr>
          <w:p w14:paraId="658EF363" w14:textId="77777777" w:rsidR="00687D5E" w:rsidRPr="00687D5E" w:rsidRDefault="00687D5E" w:rsidP="00687D5E">
            <w:pPr>
              <w:rPr>
                <w:rFonts w:ascii="Calibri" w:eastAsia="Times New Roman" w:hAnsi="Calibri" w:cs="Arial"/>
                <w:szCs w:val="20"/>
                <w:lang w:eastAsia="en-GB"/>
              </w:rPr>
            </w:pPr>
          </w:p>
        </w:tc>
      </w:tr>
      <w:tr w:rsidR="00805E2B" w:rsidRPr="007D0DCD" w14:paraId="5F1B95BE" w14:textId="77777777" w:rsidTr="5787A12A">
        <w:tc>
          <w:tcPr>
            <w:tcW w:w="817" w:type="dxa"/>
            <w:tcBorders>
              <w:top w:val="nil"/>
              <w:left w:val="nil"/>
              <w:bottom w:val="nil"/>
              <w:right w:val="nil"/>
            </w:tcBorders>
          </w:tcPr>
          <w:p w14:paraId="24CA377E" w14:textId="77777777" w:rsidR="00805E2B" w:rsidRPr="003C1B99" w:rsidRDefault="00805E2B"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CBFA4A0" w14:textId="06F9A9BC" w:rsidR="00805E2B" w:rsidRDefault="00805E2B" w:rsidP="000F0AE7">
            <w:r>
              <w:t>An emergency decant would take place when there</w:t>
            </w:r>
            <w:r w:rsidRPr="00805E2B">
              <w:t xml:space="preserve"> are unplanned unexpected works required to take place quickly, which means </w:t>
            </w:r>
            <w:r w:rsidR="008B7EE6">
              <w:t>the tenant</w:t>
            </w:r>
            <w:r w:rsidR="008B7EE6" w:rsidRPr="00805E2B">
              <w:t xml:space="preserve"> </w:t>
            </w:r>
            <w:r w:rsidRPr="00805E2B">
              <w:t xml:space="preserve">won't be able to remain in </w:t>
            </w:r>
            <w:r w:rsidR="008B7EE6">
              <w:t>their</w:t>
            </w:r>
            <w:r w:rsidRPr="00805E2B">
              <w:t xml:space="preserve"> home because it is no longer safe or habitable. </w:t>
            </w:r>
            <w:r>
              <w:t>Tenants</w:t>
            </w:r>
            <w:r w:rsidRPr="00805E2B">
              <w:t xml:space="preserve"> will need to leave their home immediately or within 24 hours of the issue coming to light. Depending on the scale of works required, an initial short</w:t>
            </w:r>
            <w:r w:rsidR="00687D5E">
              <w:t>-</w:t>
            </w:r>
            <w:r w:rsidRPr="00805E2B">
              <w:t>term solution for accommodation will be arranged</w:t>
            </w:r>
            <w:r w:rsidR="008F7FD9">
              <w:t>, for example a hotel or B&amp;B</w:t>
            </w:r>
            <w:r w:rsidRPr="00805E2B">
              <w:t>. Other accommodation options will be made available if the property will not be safe or habitable for a longer period</w:t>
            </w:r>
            <w:r w:rsidR="00687D5E">
              <w:t xml:space="preserve"> as per temporary decant or permanent decant</w:t>
            </w:r>
            <w:r w:rsidRPr="00805E2B">
              <w:t>.</w:t>
            </w:r>
          </w:p>
        </w:tc>
      </w:tr>
      <w:tr w:rsidR="0075576F" w:rsidRPr="007D0DCD" w14:paraId="728C3376" w14:textId="77777777" w:rsidTr="5787A12A">
        <w:tc>
          <w:tcPr>
            <w:tcW w:w="817" w:type="dxa"/>
            <w:tcBorders>
              <w:top w:val="nil"/>
              <w:left w:val="nil"/>
              <w:bottom w:val="nil"/>
              <w:right w:val="nil"/>
            </w:tcBorders>
          </w:tcPr>
          <w:p w14:paraId="630C78E3" w14:textId="77777777" w:rsidR="0075576F" w:rsidRPr="007D0DCD" w:rsidRDefault="0075576F" w:rsidP="000F0AE7">
            <w:pPr>
              <w:rPr>
                <w:rFonts w:ascii="Calibri" w:eastAsia="Times New Roman" w:hAnsi="Calibri" w:cs="Arial"/>
                <w:szCs w:val="20"/>
                <w:lang w:eastAsia="en-GB"/>
              </w:rPr>
            </w:pPr>
          </w:p>
        </w:tc>
        <w:tc>
          <w:tcPr>
            <w:tcW w:w="8816" w:type="dxa"/>
            <w:tcBorders>
              <w:top w:val="nil"/>
              <w:left w:val="nil"/>
              <w:bottom w:val="nil"/>
              <w:right w:val="nil"/>
            </w:tcBorders>
          </w:tcPr>
          <w:p w14:paraId="70867D92" w14:textId="77777777" w:rsidR="0075576F" w:rsidRPr="007D0DCD" w:rsidRDefault="0075576F" w:rsidP="000F0AE7">
            <w:pPr>
              <w:rPr>
                <w:rFonts w:ascii="Calibri" w:eastAsia="Times New Roman" w:hAnsi="Calibri" w:cs="Arial"/>
                <w:szCs w:val="20"/>
                <w:lang w:eastAsia="en-GB"/>
              </w:rPr>
            </w:pPr>
          </w:p>
        </w:tc>
      </w:tr>
      <w:tr w:rsidR="0075576F" w:rsidRPr="007D0DCD" w14:paraId="7513ACF5" w14:textId="77777777" w:rsidTr="5787A12A">
        <w:tc>
          <w:tcPr>
            <w:tcW w:w="817" w:type="dxa"/>
            <w:tcBorders>
              <w:top w:val="nil"/>
              <w:left w:val="nil"/>
              <w:bottom w:val="nil"/>
              <w:right w:val="nil"/>
            </w:tcBorders>
          </w:tcPr>
          <w:p w14:paraId="3ED1B156" w14:textId="77777777" w:rsidR="0075576F" w:rsidRPr="003C1B99" w:rsidRDefault="0075576F"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D8CFEB2" w14:textId="5E292B01" w:rsidR="0075576F" w:rsidRPr="00F72317" w:rsidRDefault="003117D9" w:rsidP="27664A62">
            <w:pPr>
              <w:rPr>
                <w:rFonts w:ascii="Calibri" w:eastAsia="Times New Roman" w:hAnsi="Calibri" w:cs="Arial"/>
                <w:lang w:eastAsia="en-GB"/>
              </w:rPr>
            </w:pPr>
            <w:r>
              <w:t>Home Loss – compensation payment for having to move home</w:t>
            </w:r>
            <w:r w:rsidR="00994AFD">
              <w:t>. This amount is set annually by the Government.</w:t>
            </w:r>
          </w:p>
        </w:tc>
      </w:tr>
      <w:tr w:rsidR="0075576F" w:rsidRPr="007D0DCD" w14:paraId="452AFCA0" w14:textId="77777777" w:rsidTr="5787A12A">
        <w:tc>
          <w:tcPr>
            <w:tcW w:w="817" w:type="dxa"/>
            <w:tcBorders>
              <w:top w:val="nil"/>
              <w:left w:val="nil"/>
              <w:bottom w:val="nil"/>
              <w:right w:val="nil"/>
            </w:tcBorders>
          </w:tcPr>
          <w:p w14:paraId="0EDF18FC" w14:textId="77777777" w:rsidR="0075576F" w:rsidRPr="007D0DCD" w:rsidRDefault="0075576F" w:rsidP="000F0AE7">
            <w:pPr>
              <w:rPr>
                <w:rFonts w:ascii="Calibri" w:eastAsia="Times New Roman" w:hAnsi="Calibri" w:cs="Arial"/>
                <w:szCs w:val="20"/>
                <w:lang w:eastAsia="en-GB"/>
              </w:rPr>
            </w:pPr>
          </w:p>
        </w:tc>
        <w:tc>
          <w:tcPr>
            <w:tcW w:w="8816" w:type="dxa"/>
            <w:tcBorders>
              <w:top w:val="nil"/>
              <w:left w:val="nil"/>
              <w:bottom w:val="nil"/>
              <w:right w:val="nil"/>
            </w:tcBorders>
          </w:tcPr>
          <w:p w14:paraId="1FCE3744" w14:textId="77777777" w:rsidR="0075576F" w:rsidRPr="007D0DCD" w:rsidRDefault="0075576F" w:rsidP="000F0AE7">
            <w:pPr>
              <w:rPr>
                <w:rFonts w:ascii="Calibri" w:eastAsia="Times New Roman" w:hAnsi="Calibri" w:cs="Arial"/>
                <w:szCs w:val="20"/>
                <w:lang w:eastAsia="en-GB"/>
              </w:rPr>
            </w:pPr>
          </w:p>
        </w:tc>
      </w:tr>
      <w:tr w:rsidR="0075576F" w:rsidRPr="007D0DCD" w14:paraId="74DDC7F4" w14:textId="77777777" w:rsidTr="5787A12A">
        <w:tc>
          <w:tcPr>
            <w:tcW w:w="817" w:type="dxa"/>
            <w:tcBorders>
              <w:top w:val="nil"/>
              <w:left w:val="nil"/>
              <w:bottom w:val="nil"/>
              <w:right w:val="nil"/>
            </w:tcBorders>
          </w:tcPr>
          <w:p w14:paraId="74B07529" w14:textId="77777777" w:rsidR="0075576F" w:rsidRPr="003C1B99" w:rsidRDefault="0075576F"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08B8E45" w14:textId="6BCA2390" w:rsidR="0075576F" w:rsidRPr="00CC18FE" w:rsidRDefault="003117D9" w:rsidP="000F0AE7">
            <w:pPr>
              <w:pStyle w:val="ListBullet1"/>
              <w:numPr>
                <w:ilvl w:val="0"/>
                <w:numId w:val="0"/>
              </w:numPr>
              <w:rPr>
                <w:rFonts w:ascii="Calibri" w:hAnsi="Calibri"/>
                <w:lang w:eastAsia="en-GB"/>
              </w:rPr>
            </w:pPr>
            <w:r>
              <w:t>Disturbance Payments – payment for costs incurred associated with moving</w:t>
            </w:r>
            <w:r w:rsidR="00687D5E">
              <w:t>.</w:t>
            </w:r>
          </w:p>
        </w:tc>
      </w:tr>
      <w:tr w:rsidR="0075576F" w:rsidRPr="007D0DCD" w14:paraId="614BC10B" w14:textId="77777777" w:rsidTr="5787A12A">
        <w:tc>
          <w:tcPr>
            <w:tcW w:w="817" w:type="dxa"/>
            <w:tcBorders>
              <w:top w:val="nil"/>
              <w:left w:val="nil"/>
              <w:bottom w:val="nil"/>
              <w:right w:val="nil"/>
            </w:tcBorders>
          </w:tcPr>
          <w:p w14:paraId="7B4CC224" w14:textId="77777777" w:rsidR="0075576F" w:rsidRPr="00BB4B57" w:rsidRDefault="0075576F" w:rsidP="000F0AE7">
            <w:pPr>
              <w:rPr>
                <w:rFonts w:eastAsia="Times New Roman" w:cs="Arial"/>
                <w:szCs w:val="20"/>
                <w:lang w:eastAsia="en-GB"/>
              </w:rPr>
            </w:pPr>
          </w:p>
        </w:tc>
        <w:tc>
          <w:tcPr>
            <w:tcW w:w="8816" w:type="dxa"/>
            <w:tcBorders>
              <w:top w:val="nil"/>
              <w:left w:val="nil"/>
              <w:bottom w:val="nil"/>
              <w:right w:val="nil"/>
            </w:tcBorders>
          </w:tcPr>
          <w:p w14:paraId="4AC0CB80" w14:textId="77777777" w:rsidR="0075576F" w:rsidRPr="00CC18FE" w:rsidRDefault="0075576F" w:rsidP="000F0AE7">
            <w:pPr>
              <w:pStyle w:val="ListBullet1"/>
              <w:numPr>
                <w:ilvl w:val="0"/>
                <w:numId w:val="0"/>
              </w:numPr>
              <w:rPr>
                <w:rFonts w:ascii="Calibri" w:hAnsi="Calibri"/>
                <w:lang w:eastAsia="en-GB"/>
              </w:rPr>
            </w:pPr>
          </w:p>
        </w:tc>
      </w:tr>
      <w:tr w:rsidR="0075576F" w:rsidRPr="007D0DCD" w14:paraId="5B583A38" w14:textId="77777777" w:rsidTr="5787A12A">
        <w:tc>
          <w:tcPr>
            <w:tcW w:w="817" w:type="dxa"/>
            <w:tcBorders>
              <w:top w:val="nil"/>
              <w:left w:val="nil"/>
              <w:bottom w:val="nil"/>
              <w:right w:val="nil"/>
            </w:tcBorders>
          </w:tcPr>
          <w:p w14:paraId="3106A301" w14:textId="77777777" w:rsidR="0075576F" w:rsidRPr="003C1B99" w:rsidRDefault="0075576F" w:rsidP="000F0AE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6A8231F" w14:textId="0DB8D93B" w:rsidR="0075576F" w:rsidRPr="00CC18FE" w:rsidRDefault="003117D9" w:rsidP="000F0AE7">
            <w:pPr>
              <w:pStyle w:val="ListBullet1"/>
              <w:numPr>
                <w:ilvl w:val="0"/>
                <w:numId w:val="0"/>
              </w:numPr>
              <w:rPr>
                <w:rFonts w:ascii="Calibri" w:hAnsi="Calibri"/>
                <w:lang w:eastAsia="en-GB"/>
              </w:rPr>
            </w:pPr>
            <w:r>
              <w:t>Regeneration – improvements to streets or parts of estates including housing improvements, demolition, new build, environmental improvements. May include one, or a number of initiatives as required/planned</w:t>
            </w:r>
          </w:p>
        </w:tc>
      </w:tr>
      <w:tr w:rsidR="0075576F" w:rsidRPr="007D0DCD" w14:paraId="1E72D501" w14:textId="77777777" w:rsidTr="5787A12A">
        <w:tc>
          <w:tcPr>
            <w:tcW w:w="817" w:type="dxa"/>
            <w:tcBorders>
              <w:top w:val="nil"/>
              <w:left w:val="nil"/>
              <w:bottom w:val="nil"/>
              <w:right w:val="nil"/>
            </w:tcBorders>
          </w:tcPr>
          <w:p w14:paraId="0CC50AAB" w14:textId="77777777" w:rsidR="0075576F" w:rsidRPr="007D0DCD" w:rsidRDefault="0075576F" w:rsidP="000F0AE7">
            <w:pPr>
              <w:rPr>
                <w:rFonts w:ascii="Calibri" w:eastAsia="Times New Roman" w:hAnsi="Calibri" w:cs="Arial"/>
                <w:szCs w:val="20"/>
                <w:lang w:eastAsia="en-GB"/>
              </w:rPr>
            </w:pPr>
          </w:p>
        </w:tc>
        <w:tc>
          <w:tcPr>
            <w:tcW w:w="8816" w:type="dxa"/>
            <w:tcBorders>
              <w:top w:val="nil"/>
              <w:left w:val="nil"/>
              <w:bottom w:val="nil"/>
              <w:right w:val="nil"/>
            </w:tcBorders>
          </w:tcPr>
          <w:p w14:paraId="7E36FC1D" w14:textId="77777777" w:rsidR="0075576F" w:rsidRPr="007D0DCD" w:rsidRDefault="0075576F" w:rsidP="000F0AE7">
            <w:pPr>
              <w:rPr>
                <w:rFonts w:ascii="Calibri" w:eastAsia="Times New Roman" w:hAnsi="Calibri" w:cs="Arial"/>
                <w:szCs w:val="20"/>
                <w:lang w:eastAsia="en-GB"/>
              </w:rPr>
            </w:pPr>
          </w:p>
        </w:tc>
      </w:tr>
      <w:tr w:rsidR="007B06DD" w:rsidRPr="007D0DCD" w14:paraId="0D12B5F6" w14:textId="77777777" w:rsidTr="5787A12A">
        <w:trPr>
          <w:trHeight w:hRule="exact" w:val="340"/>
        </w:trPr>
        <w:tc>
          <w:tcPr>
            <w:tcW w:w="817" w:type="dxa"/>
            <w:tcBorders>
              <w:top w:val="nil"/>
              <w:left w:val="nil"/>
              <w:bottom w:val="nil"/>
              <w:right w:val="nil"/>
            </w:tcBorders>
          </w:tcPr>
          <w:p w14:paraId="1A29E1DA" w14:textId="77777777" w:rsidR="007B06DD" w:rsidRPr="005927A0" w:rsidRDefault="007B06DD" w:rsidP="000F0AE7">
            <w:pPr>
              <w:pStyle w:val="ListParagraph"/>
              <w:numPr>
                <w:ilvl w:val="0"/>
                <w:numId w:val="5"/>
              </w:numPr>
            </w:pPr>
          </w:p>
        </w:tc>
        <w:tc>
          <w:tcPr>
            <w:tcW w:w="8816" w:type="dxa"/>
            <w:tcBorders>
              <w:top w:val="nil"/>
              <w:left w:val="nil"/>
              <w:bottom w:val="nil"/>
              <w:right w:val="nil"/>
            </w:tcBorders>
          </w:tcPr>
          <w:p w14:paraId="53CA25A3" w14:textId="032AB4BA" w:rsidR="007B06DD" w:rsidRPr="000D655A" w:rsidRDefault="007B06DD" w:rsidP="000F0AE7">
            <w:pPr>
              <w:pStyle w:val="Heading1"/>
              <w:rPr>
                <w:lang w:val="en-US"/>
              </w:rPr>
            </w:pPr>
            <w:bookmarkStart w:id="16" w:name="_Toc116910372"/>
            <w:r>
              <w:rPr>
                <w:lang w:val="en-US"/>
              </w:rPr>
              <w:t>OUR POLICY</w:t>
            </w:r>
            <w:bookmarkEnd w:id="16"/>
          </w:p>
        </w:tc>
      </w:tr>
      <w:tr w:rsidR="00B41462" w:rsidRPr="007D0DCD" w14:paraId="18912B3D" w14:textId="77777777" w:rsidTr="5787A12A">
        <w:tc>
          <w:tcPr>
            <w:tcW w:w="817" w:type="dxa"/>
            <w:tcBorders>
              <w:top w:val="nil"/>
              <w:left w:val="nil"/>
              <w:bottom w:val="nil"/>
              <w:right w:val="nil"/>
            </w:tcBorders>
          </w:tcPr>
          <w:p w14:paraId="2E11EB5A" w14:textId="77777777" w:rsidR="00B41462" w:rsidRPr="00EF55CC" w:rsidRDefault="00B41462" w:rsidP="000F0AE7">
            <w:pPr>
              <w:rPr>
                <w:lang w:eastAsia="en-GB"/>
              </w:rPr>
            </w:pPr>
          </w:p>
        </w:tc>
        <w:tc>
          <w:tcPr>
            <w:tcW w:w="8816" w:type="dxa"/>
            <w:tcBorders>
              <w:top w:val="nil"/>
              <w:left w:val="nil"/>
              <w:bottom w:val="nil"/>
              <w:right w:val="nil"/>
            </w:tcBorders>
          </w:tcPr>
          <w:p w14:paraId="007EB923" w14:textId="77777777" w:rsidR="00B41462" w:rsidRPr="00BA26F4" w:rsidRDefault="00B41462" w:rsidP="007B06DD">
            <w:pPr>
              <w:rPr>
                <w:i/>
                <w:iCs/>
                <w:color w:val="A6A6A6" w:themeColor="background1" w:themeShade="A6"/>
                <w:lang w:val="en-US"/>
              </w:rPr>
            </w:pPr>
          </w:p>
        </w:tc>
      </w:tr>
      <w:tr w:rsidR="00805E2B" w:rsidRPr="007D0DCD" w14:paraId="41CAB370" w14:textId="77777777" w:rsidTr="5787A12A">
        <w:tc>
          <w:tcPr>
            <w:tcW w:w="817" w:type="dxa"/>
            <w:tcBorders>
              <w:top w:val="nil"/>
              <w:left w:val="nil"/>
              <w:bottom w:val="nil"/>
              <w:right w:val="nil"/>
            </w:tcBorders>
          </w:tcPr>
          <w:p w14:paraId="610485BA" w14:textId="77777777" w:rsidR="00805E2B" w:rsidRPr="003C1B99" w:rsidRDefault="00805E2B"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DAD32A5" w14:textId="052B6318" w:rsidR="00805E2B" w:rsidRDefault="00805E2B" w:rsidP="00FB216F">
            <w:r>
              <w:t xml:space="preserve">From time to time the Trust may require to decant tenants from their current property. The majority of these decants will be temporary, however, in some cases this may require </w:t>
            </w:r>
            <w:r w:rsidR="00663BFC">
              <w:t xml:space="preserve">a </w:t>
            </w:r>
            <w:r>
              <w:t>permanent move for the tenants i.e. demolitions, structural issues and refurbishments.</w:t>
            </w:r>
          </w:p>
          <w:p w14:paraId="058B0851" w14:textId="709D8919" w:rsidR="00805E2B" w:rsidRPr="00805E2B" w:rsidRDefault="00805E2B" w:rsidP="00FB216F"/>
        </w:tc>
      </w:tr>
      <w:tr w:rsidR="00FB216F" w:rsidRPr="007D0DCD" w14:paraId="5C93F889" w14:textId="77777777" w:rsidTr="5787A12A">
        <w:tc>
          <w:tcPr>
            <w:tcW w:w="817" w:type="dxa"/>
            <w:tcBorders>
              <w:top w:val="nil"/>
              <w:left w:val="nil"/>
              <w:bottom w:val="nil"/>
              <w:right w:val="nil"/>
            </w:tcBorders>
          </w:tcPr>
          <w:p w14:paraId="742A68AD"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3AF64B5" w14:textId="66CA7927" w:rsidR="00FB216F" w:rsidRPr="00805E2B" w:rsidRDefault="00FB216F" w:rsidP="00FB216F">
            <w:r w:rsidRPr="00805E2B">
              <w:t xml:space="preserve">Affected </w:t>
            </w:r>
            <w:r w:rsidR="00805E2B" w:rsidRPr="00805E2B">
              <w:t>tenant</w:t>
            </w:r>
            <w:r w:rsidRPr="00805E2B">
              <w:t xml:space="preserve">s will be involved from the start of the decant process. We will ensure that: </w:t>
            </w:r>
          </w:p>
          <w:p w14:paraId="7AB71B2A" w14:textId="727069C8" w:rsidR="00FB216F" w:rsidRPr="00805E2B" w:rsidRDefault="00FB216F" w:rsidP="00663BFC">
            <w:pPr>
              <w:pStyle w:val="ListBullet1"/>
              <w:ind w:left="346"/>
            </w:pPr>
            <w:r w:rsidRPr="00805E2B">
              <w:t xml:space="preserve">the reason why we consider that a decant is appropriate and necessary is explained </w:t>
            </w:r>
          </w:p>
          <w:p w14:paraId="5D9A08ED" w14:textId="50FF34DC" w:rsidR="00FB216F" w:rsidRPr="00805E2B" w:rsidRDefault="00805E2B" w:rsidP="00663BFC">
            <w:pPr>
              <w:pStyle w:val="ListBullet1"/>
              <w:ind w:left="346"/>
            </w:pPr>
            <w:r w:rsidRPr="00805E2B">
              <w:t>tenants</w:t>
            </w:r>
            <w:r w:rsidR="00FB216F" w:rsidRPr="00805E2B">
              <w:t xml:space="preserve"> are given an individual named </w:t>
            </w:r>
            <w:r w:rsidR="00656B56">
              <w:t xml:space="preserve">staff </w:t>
            </w:r>
            <w:r w:rsidR="00FB216F" w:rsidRPr="00805E2B">
              <w:t xml:space="preserve">contact </w:t>
            </w:r>
            <w:r w:rsidR="00687D5E">
              <w:t>who will be able to update on work being carried out, timescales, and any changes to timescales</w:t>
            </w:r>
          </w:p>
          <w:p w14:paraId="795550DF" w14:textId="274E64F8" w:rsidR="00FB216F" w:rsidRPr="00805E2B" w:rsidRDefault="00FB216F" w:rsidP="00663BFC">
            <w:pPr>
              <w:pStyle w:val="ListBullet1"/>
              <w:ind w:left="346"/>
            </w:pPr>
            <w:r w:rsidRPr="00805E2B">
              <w:t xml:space="preserve">we discuss any alternative options that may be available </w:t>
            </w:r>
          </w:p>
          <w:p w14:paraId="590C86FA" w14:textId="3E73BCEC" w:rsidR="00FB216F" w:rsidRPr="00805E2B" w:rsidRDefault="00FB216F" w:rsidP="00663BFC">
            <w:pPr>
              <w:pStyle w:val="ListBullet1"/>
              <w:ind w:left="346"/>
            </w:pPr>
            <w:r w:rsidRPr="00805E2B">
              <w:t xml:space="preserve">we confirm and agree on what is considered to be a reasonable offer of alternative accommodation </w:t>
            </w:r>
          </w:p>
          <w:p w14:paraId="608FA5D3" w14:textId="630289FE" w:rsidR="00FB216F" w:rsidRDefault="00656B56" w:rsidP="00663BFC">
            <w:pPr>
              <w:pStyle w:val="ListBullet1"/>
              <w:ind w:left="346"/>
            </w:pPr>
            <w:r>
              <w:t xml:space="preserve">we </w:t>
            </w:r>
            <w:r w:rsidR="00FB216F">
              <w:t xml:space="preserve">advise </w:t>
            </w:r>
            <w:r>
              <w:t xml:space="preserve">the tenant(s) </w:t>
            </w:r>
            <w:r w:rsidR="00FB216F">
              <w:t xml:space="preserve">of the action that may be taken if the </w:t>
            </w:r>
            <w:r w:rsidR="00805E2B">
              <w:t>tenant</w:t>
            </w:r>
            <w:r w:rsidR="00FB216F">
              <w:t xml:space="preserve"> refuses to be relocated when a reasonable offer has been made</w:t>
            </w:r>
          </w:p>
          <w:p w14:paraId="24B4C8E4" w14:textId="0A316BA0" w:rsidR="004F0CB8" w:rsidRDefault="004F0CB8" w:rsidP="00663BFC">
            <w:pPr>
              <w:pStyle w:val="ListBullet1"/>
              <w:ind w:left="346"/>
            </w:pPr>
            <w:r w:rsidRPr="00805E2B">
              <w:lastRenderedPageBreak/>
              <w:t>we</w:t>
            </w:r>
            <w:r>
              <w:t xml:space="preserve"> discuss any support needs </w:t>
            </w:r>
            <w:r w:rsidR="00375845">
              <w:t>required</w:t>
            </w:r>
            <w:r w:rsidR="006609EA">
              <w:t xml:space="preserve"> for the accommodation, as well as for moving</w:t>
            </w:r>
            <w:r w:rsidR="00663BFC">
              <w:t xml:space="preserve"> the tenant(s).</w:t>
            </w:r>
          </w:p>
          <w:p w14:paraId="19FEBC8C" w14:textId="261BC175" w:rsidR="00805E2B" w:rsidRDefault="00805E2B" w:rsidP="00FB216F"/>
        </w:tc>
      </w:tr>
      <w:tr w:rsidR="00FB216F" w:rsidRPr="007D0DCD" w14:paraId="4E5ECA6A" w14:textId="77777777" w:rsidTr="5787A12A">
        <w:tc>
          <w:tcPr>
            <w:tcW w:w="817" w:type="dxa"/>
            <w:tcBorders>
              <w:top w:val="nil"/>
              <w:left w:val="nil"/>
              <w:bottom w:val="nil"/>
              <w:right w:val="nil"/>
            </w:tcBorders>
          </w:tcPr>
          <w:p w14:paraId="33B28A05"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7E2F47C" w14:textId="0278A9AF" w:rsidR="00FB216F" w:rsidRPr="00805E2B" w:rsidRDefault="00FB216F" w:rsidP="00FB216F">
            <w:r w:rsidRPr="00805E2B">
              <w:t xml:space="preserve">Where possible, we aim to carry out necessary works around </w:t>
            </w:r>
            <w:r w:rsidR="00805E2B">
              <w:t>tenants</w:t>
            </w:r>
            <w:r w:rsidRPr="00805E2B">
              <w:t xml:space="preserve">, while they remain in their property, with minimum disruption. If the work cannot be carried out while the tenant remains in their property, we will aim to make the decant period as short as possible. When deciding whether a </w:t>
            </w:r>
            <w:r w:rsidR="00805E2B">
              <w:t>tenant</w:t>
            </w:r>
            <w:r w:rsidRPr="00805E2B">
              <w:t xml:space="preserve"> can remain in the property during works the following will be considered: </w:t>
            </w:r>
          </w:p>
          <w:p w14:paraId="28C9E40F" w14:textId="4E623117" w:rsidR="00FB216F" w:rsidRPr="00805E2B" w:rsidRDefault="00FB216F" w:rsidP="00663BFC">
            <w:pPr>
              <w:pStyle w:val="ListBullet1"/>
              <w:ind w:left="346"/>
            </w:pPr>
            <w:r w:rsidRPr="00805E2B">
              <w:t xml:space="preserve">the health and safety of those living in or visiting the property </w:t>
            </w:r>
          </w:p>
          <w:p w14:paraId="643ED0F7" w14:textId="1E5BFCBC" w:rsidR="00FB216F" w:rsidRPr="00805E2B" w:rsidRDefault="00FB216F" w:rsidP="00663BFC">
            <w:pPr>
              <w:pStyle w:val="ListBullet1"/>
              <w:ind w:left="346"/>
            </w:pPr>
            <w:r w:rsidRPr="00805E2B">
              <w:t xml:space="preserve">the wellbeing of the household </w:t>
            </w:r>
          </w:p>
          <w:p w14:paraId="58E37270" w14:textId="4FF6A89E" w:rsidR="00FB216F" w:rsidRPr="00805E2B" w:rsidRDefault="00FB216F" w:rsidP="00663BFC">
            <w:pPr>
              <w:pStyle w:val="ListBullet1"/>
              <w:ind w:left="346"/>
            </w:pPr>
            <w:r w:rsidRPr="00805E2B">
              <w:t xml:space="preserve">proposed timescales and the extent of works </w:t>
            </w:r>
          </w:p>
          <w:p w14:paraId="6365AB05" w14:textId="3B22C398" w:rsidR="00805E2B" w:rsidRDefault="00FB216F" w:rsidP="00FB216F">
            <w:pPr>
              <w:pStyle w:val="ListBullet1"/>
              <w:ind w:left="346"/>
            </w:pPr>
            <w:r w:rsidRPr="00805E2B">
              <w:t>ensuring that the Reasonable Adjustment Policy is applied to ensure that the individual needs are considered</w:t>
            </w:r>
          </w:p>
        </w:tc>
      </w:tr>
      <w:tr w:rsidR="00FB216F" w:rsidRPr="007D0DCD" w14:paraId="223015D7" w14:textId="77777777" w:rsidTr="5787A12A">
        <w:tc>
          <w:tcPr>
            <w:tcW w:w="817" w:type="dxa"/>
            <w:tcBorders>
              <w:top w:val="nil"/>
              <w:left w:val="nil"/>
              <w:bottom w:val="nil"/>
              <w:right w:val="nil"/>
            </w:tcBorders>
          </w:tcPr>
          <w:p w14:paraId="3964629C" w14:textId="77777777" w:rsidR="00FB216F" w:rsidRPr="007D0DCD" w:rsidRDefault="00FB216F" w:rsidP="00FB216F">
            <w:pPr>
              <w:rPr>
                <w:rFonts w:ascii="Calibri" w:eastAsia="Times New Roman" w:hAnsi="Calibri" w:cs="Arial"/>
                <w:szCs w:val="20"/>
                <w:lang w:eastAsia="en-GB"/>
              </w:rPr>
            </w:pPr>
          </w:p>
        </w:tc>
        <w:tc>
          <w:tcPr>
            <w:tcW w:w="8816" w:type="dxa"/>
            <w:tcBorders>
              <w:top w:val="nil"/>
              <w:left w:val="nil"/>
              <w:bottom w:val="nil"/>
              <w:right w:val="nil"/>
            </w:tcBorders>
          </w:tcPr>
          <w:p w14:paraId="5B27D555" w14:textId="77777777" w:rsidR="00FB216F" w:rsidRPr="007D0DCD" w:rsidRDefault="00FB216F" w:rsidP="00FB216F">
            <w:pPr>
              <w:rPr>
                <w:rFonts w:ascii="Calibri" w:eastAsia="Times New Roman" w:hAnsi="Calibri" w:cs="Arial"/>
                <w:szCs w:val="20"/>
                <w:lang w:eastAsia="en-GB"/>
              </w:rPr>
            </w:pPr>
          </w:p>
        </w:tc>
      </w:tr>
      <w:tr w:rsidR="00FB216F" w:rsidRPr="007D0DCD" w14:paraId="7522C3B4" w14:textId="77777777" w:rsidTr="5787A12A">
        <w:tc>
          <w:tcPr>
            <w:tcW w:w="817" w:type="dxa"/>
            <w:tcBorders>
              <w:top w:val="nil"/>
              <w:left w:val="nil"/>
              <w:bottom w:val="nil"/>
              <w:right w:val="nil"/>
            </w:tcBorders>
          </w:tcPr>
          <w:p w14:paraId="29C2AB87"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C3B2C64" w14:textId="653928E3" w:rsidR="00FB216F" w:rsidRPr="00F72317" w:rsidRDefault="00FB216F" w:rsidP="00FB216F">
            <w:pPr>
              <w:rPr>
                <w:rFonts w:ascii="Calibri" w:eastAsia="Times New Roman" w:hAnsi="Calibri" w:cs="Arial"/>
                <w:szCs w:val="20"/>
                <w:lang w:eastAsia="en-GB"/>
              </w:rPr>
            </w:pPr>
            <w:r>
              <w:t>Where decants are necessary and permanent, for example in situations where properties are due for demolition, the Trust will comply with the Home Loss Payments (Prescribed Amount) (England) Regulations 2023 and ensure compensatory payments are made available to customers permanently decanting.</w:t>
            </w:r>
          </w:p>
        </w:tc>
      </w:tr>
      <w:tr w:rsidR="00FB216F" w:rsidRPr="007D0DCD" w14:paraId="14F8572E" w14:textId="77777777" w:rsidTr="5787A12A">
        <w:tc>
          <w:tcPr>
            <w:tcW w:w="817" w:type="dxa"/>
            <w:tcBorders>
              <w:top w:val="nil"/>
              <w:left w:val="nil"/>
              <w:bottom w:val="nil"/>
              <w:right w:val="nil"/>
            </w:tcBorders>
          </w:tcPr>
          <w:p w14:paraId="51BAC641" w14:textId="77777777" w:rsidR="00FB216F" w:rsidRPr="007D0DCD" w:rsidRDefault="00FB216F" w:rsidP="00FB216F">
            <w:pPr>
              <w:rPr>
                <w:rFonts w:ascii="Calibri" w:eastAsia="Times New Roman" w:hAnsi="Calibri" w:cs="Arial"/>
                <w:szCs w:val="20"/>
                <w:lang w:eastAsia="en-GB"/>
              </w:rPr>
            </w:pPr>
          </w:p>
        </w:tc>
        <w:tc>
          <w:tcPr>
            <w:tcW w:w="8816" w:type="dxa"/>
            <w:tcBorders>
              <w:top w:val="nil"/>
              <w:left w:val="nil"/>
              <w:bottom w:val="nil"/>
              <w:right w:val="nil"/>
            </w:tcBorders>
          </w:tcPr>
          <w:p w14:paraId="05547AD1" w14:textId="77777777" w:rsidR="00FB216F" w:rsidRPr="007D0DCD" w:rsidRDefault="00FB216F" w:rsidP="00FB216F">
            <w:pPr>
              <w:rPr>
                <w:rFonts w:ascii="Calibri" w:eastAsia="Times New Roman" w:hAnsi="Calibri" w:cs="Arial"/>
                <w:szCs w:val="20"/>
                <w:lang w:eastAsia="en-GB"/>
              </w:rPr>
            </w:pPr>
          </w:p>
        </w:tc>
      </w:tr>
      <w:tr w:rsidR="00FB216F" w:rsidRPr="007D0DCD" w14:paraId="315FC48B" w14:textId="77777777" w:rsidTr="5787A12A">
        <w:tc>
          <w:tcPr>
            <w:tcW w:w="817" w:type="dxa"/>
            <w:tcBorders>
              <w:top w:val="nil"/>
              <w:left w:val="nil"/>
              <w:bottom w:val="nil"/>
              <w:right w:val="nil"/>
            </w:tcBorders>
          </w:tcPr>
          <w:p w14:paraId="06991B17"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AB0F2CF" w14:textId="7778F416" w:rsidR="00FB216F" w:rsidRPr="00CC18FE" w:rsidRDefault="00FB216F" w:rsidP="4242A969">
            <w:pPr>
              <w:pStyle w:val="ListBullet1"/>
              <w:numPr>
                <w:ilvl w:val="0"/>
                <w:numId w:val="0"/>
              </w:numPr>
              <w:rPr>
                <w:lang w:eastAsia="en-GB"/>
              </w:rPr>
            </w:pPr>
            <w:r>
              <w:t xml:space="preserve">The first option will always be to agree a voluntary move with </w:t>
            </w:r>
            <w:r w:rsidR="00805E2B">
              <w:t>tenants</w:t>
            </w:r>
            <w:r>
              <w:t xml:space="preserve">, however where </w:t>
            </w:r>
            <w:r w:rsidR="00805E2B">
              <w:t>tenants</w:t>
            </w:r>
            <w:r>
              <w:t xml:space="preserve"> are unwilling to decant, and it is impossible to complete the planned works with residents remaining in the property, the Trust will work with tenants to find an alternative home within its stock. Where all options have been exhausted, the Trust may choose to pursue legal redress including a court application to seek possession.</w:t>
            </w:r>
            <w:r w:rsidR="37F55486">
              <w:t xml:space="preserve"> </w:t>
            </w:r>
          </w:p>
        </w:tc>
      </w:tr>
      <w:tr w:rsidR="00FB216F" w:rsidRPr="007D0DCD" w14:paraId="251C7E9F" w14:textId="77777777" w:rsidTr="5787A12A">
        <w:tc>
          <w:tcPr>
            <w:tcW w:w="817" w:type="dxa"/>
            <w:tcBorders>
              <w:top w:val="nil"/>
              <w:left w:val="nil"/>
              <w:bottom w:val="nil"/>
              <w:right w:val="nil"/>
            </w:tcBorders>
          </w:tcPr>
          <w:p w14:paraId="7D2950D7"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50F4024" w14:textId="77777777" w:rsidR="00FB216F" w:rsidRPr="00CC18FE" w:rsidRDefault="00FB216F" w:rsidP="00FB216F">
            <w:pPr>
              <w:pStyle w:val="ListBullet1"/>
              <w:numPr>
                <w:ilvl w:val="0"/>
                <w:numId w:val="0"/>
              </w:numPr>
              <w:rPr>
                <w:rFonts w:ascii="Calibri" w:hAnsi="Calibri"/>
                <w:lang w:eastAsia="en-GB"/>
              </w:rPr>
            </w:pPr>
          </w:p>
        </w:tc>
      </w:tr>
      <w:tr w:rsidR="003D171B" w:rsidRPr="007D0DCD" w14:paraId="3801C57D" w14:textId="77777777" w:rsidTr="5787A12A">
        <w:tc>
          <w:tcPr>
            <w:tcW w:w="817" w:type="dxa"/>
            <w:tcBorders>
              <w:top w:val="nil"/>
              <w:left w:val="nil"/>
              <w:bottom w:val="nil"/>
              <w:right w:val="nil"/>
            </w:tcBorders>
          </w:tcPr>
          <w:p w14:paraId="5ACA3686" w14:textId="77777777" w:rsidR="003D171B" w:rsidRPr="003C1B99" w:rsidRDefault="003D171B" w:rsidP="00FB216F">
            <w:pPr>
              <w:pStyle w:val="ListParagraph"/>
              <w:numPr>
                <w:ilvl w:val="0"/>
                <w:numId w:val="5"/>
              </w:numPr>
              <w:rPr>
                <w:rFonts w:eastAsia="Times New Roman" w:cs="Arial"/>
                <w:b w:val="0"/>
                <w:color w:val="auto"/>
                <w:szCs w:val="20"/>
                <w:lang w:eastAsia="en-GB"/>
              </w:rPr>
            </w:pPr>
          </w:p>
        </w:tc>
        <w:tc>
          <w:tcPr>
            <w:tcW w:w="8816" w:type="dxa"/>
            <w:tcBorders>
              <w:top w:val="nil"/>
              <w:left w:val="nil"/>
              <w:bottom w:val="nil"/>
              <w:right w:val="nil"/>
            </w:tcBorders>
          </w:tcPr>
          <w:p w14:paraId="1A9A998F" w14:textId="7235A7CA" w:rsidR="003D171B" w:rsidRPr="00805E2B" w:rsidRDefault="003D171B" w:rsidP="00FB216F">
            <w:pPr>
              <w:pStyle w:val="ListBullet1"/>
              <w:numPr>
                <w:ilvl w:val="0"/>
                <w:numId w:val="0"/>
              </w:numPr>
              <w:rPr>
                <w:rFonts w:ascii="Calibri" w:eastAsia="Times New Roman" w:hAnsi="Calibri"/>
                <w:b/>
                <w:bCs/>
                <w:caps/>
                <w:color w:val="7AC142"/>
                <w:szCs w:val="32"/>
                <w:lang w:val="en-US"/>
              </w:rPr>
            </w:pPr>
            <w:r>
              <w:rPr>
                <w:rFonts w:ascii="Calibri" w:eastAsia="Times New Roman" w:hAnsi="Calibri"/>
                <w:b/>
                <w:bCs/>
                <w:caps/>
                <w:color w:val="7AC142"/>
                <w:szCs w:val="32"/>
                <w:lang w:val="en-US"/>
              </w:rPr>
              <w:t>emergency decant</w:t>
            </w:r>
          </w:p>
        </w:tc>
      </w:tr>
      <w:tr w:rsidR="004E5351" w:rsidRPr="007D0DCD" w14:paraId="1C014902" w14:textId="77777777" w:rsidTr="5787A12A">
        <w:tc>
          <w:tcPr>
            <w:tcW w:w="817" w:type="dxa"/>
            <w:tcBorders>
              <w:top w:val="nil"/>
              <w:left w:val="nil"/>
              <w:bottom w:val="nil"/>
              <w:right w:val="nil"/>
            </w:tcBorders>
          </w:tcPr>
          <w:p w14:paraId="5C897804" w14:textId="77777777" w:rsidR="004E5351" w:rsidRPr="003C1B99" w:rsidRDefault="004E5351" w:rsidP="004E5351">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20CE0E24" w14:textId="77777777" w:rsidR="004E5351" w:rsidRDefault="004E5351" w:rsidP="00FB216F">
            <w:pPr>
              <w:pStyle w:val="ListBullet1"/>
              <w:numPr>
                <w:ilvl w:val="0"/>
                <w:numId w:val="0"/>
              </w:numPr>
              <w:rPr>
                <w:rFonts w:ascii="Calibri" w:eastAsia="Times New Roman" w:hAnsi="Calibri"/>
                <w:b/>
                <w:bCs/>
                <w:caps/>
                <w:color w:val="7AC142"/>
                <w:szCs w:val="32"/>
                <w:lang w:val="en-US"/>
              </w:rPr>
            </w:pPr>
          </w:p>
        </w:tc>
      </w:tr>
      <w:tr w:rsidR="003D171B" w:rsidRPr="007D0DCD" w14:paraId="16CA948A" w14:textId="77777777" w:rsidTr="5787A12A">
        <w:tc>
          <w:tcPr>
            <w:tcW w:w="817" w:type="dxa"/>
            <w:tcBorders>
              <w:top w:val="nil"/>
              <w:left w:val="nil"/>
              <w:bottom w:val="nil"/>
              <w:right w:val="nil"/>
            </w:tcBorders>
          </w:tcPr>
          <w:p w14:paraId="50AD1CE8" w14:textId="77777777" w:rsidR="003D171B" w:rsidRPr="003C1B99" w:rsidRDefault="003D171B" w:rsidP="003D171B">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4C046B67" w14:textId="77777777" w:rsidR="003D171B" w:rsidRDefault="003D171B" w:rsidP="00FB216F">
            <w:pPr>
              <w:pStyle w:val="ListBullet1"/>
              <w:numPr>
                <w:ilvl w:val="0"/>
                <w:numId w:val="0"/>
              </w:numPr>
            </w:pPr>
            <w:r>
              <w:t xml:space="preserve">Emergency decants are necessary when an event makes the property uninhabitable. Examples of emergencies include but are not limited to: </w:t>
            </w:r>
          </w:p>
          <w:p w14:paraId="6DB8C882" w14:textId="432AF3C5" w:rsidR="003D171B" w:rsidRDefault="003D171B" w:rsidP="004E5351">
            <w:pPr>
              <w:pStyle w:val="ListBullet1"/>
              <w:numPr>
                <w:ilvl w:val="0"/>
                <w:numId w:val="31"/>
              </w:numPr>
              <w:ind w:left="346"/>
            </w:pPr>
            <w:r>
              <w:t xml:space="preserve">Interruption of vital services to property e.g. water or electricity supply </w:t>
            </w:r>
          </w:p>
          <w:p w14:paraId="11FA43EF" w14:textId="03952BA1" w:rsidR="003D171B" w:rsidRDefault="003D171B" w:rsidP="004E5351">
            <w:pPr>
              <w:pStyle w:val="ListBullet1"/>
              <w:numPr>
                <w:ilvl w:val="0"/>
                <w:numId w:val="31"/>
              </w:numPr>
              <w:ind w:left="346"/>
            </w:pPr>
            <w:r>
              <w:t xml:space="preserve">Fire </w:t>
            </w:r>
          </w:p>
          <w:p w14:paraId="104B27DC" w14:textId="73BF8B0A" w:rsidR="003D171B" w:rsidRDefault="003D171B" w:rsidP="004E5351">
            <w:pPr>
              <w:pStyle w:val="ListBullet1"/>
              <w:numPr>
                <w:ilvl w:val="0"/>
                <w:numId w:val="31"/>
              </w:numPr>
              <w:ind w:left="346"/>
            </w:pPr>
            <w:r>
              <w:t xml:space="preserve">Major structural issues </w:t>
            </w:r>
          </w:p>
          <w:p w14:paraId="637FB045" w14:textId="14544041" w:rsidR="003D171B" w:rsidRDefault="003D171B" w:rsidP="004E5351">
            <w:pPr>
              <w:pStyle w:val="ListBullet1"/>
              <w:numPr>
                <w:ilvl w:val="0"/>
                <w:numId w:val="31"/>
              </w:numPr>
              <w:ind w:left="346"/>
            </w:pPr>
            <w:r>
              <w:t>Repairs required to communal areas that would prevent access to the property.</w:t>
            </w:r>
          </w:p>
          <w:p w14:paraId="1C3ACCAC" w14:textId="490CEF75" w:rsidR="003D171B" w:rsidRDefault="003D171B" w:rsidP="00FB216F">
            <w:pPr>
              <w:pStyle w:val="ListBullet1"/>
              <w:numPr>
                <w:ilvl w:val="0"/>
                <w:numId w:val="0"/>
              </w:numPr>
              <w:rPr>
                <w:rFonts w:ascii="Calibri" w:eastAsia="Times New Roman" w:hAnsi="Calibri"/>
                <w:b/>
                <w:bCs/>
                <w:caps/>
                <w:color w:val="7AC142"/>
                <w:szCs w:val="32"/>
                <w:lang w:val="en-US"/>
              </w:rPr>
            </w:pPr>
          </w:p>
        </w:tc>
      </w:tr>
      <w:tr w:rsidR="003D171B" w:rsidRPr="007D0DCD" w14:paraId="6011EC50" w14:textId="77777777" w:rsidTr="5787A12A">
        <w:tc>
          <w:tcPr>
            <w:tcW w:w="817" w:type="dxa"/>
            <w:tcBorders>
              <w:top w:val="nil"/>
              <w:left w:val="nil"/>
              <w:bottom w:val="nil"/>
              <w:right w:val="nil"/>
            </w:tcBorders>
          </w:tcPr>
          <w:p w14:paraId="2F31A1D3" w14:textId="77777777" w:rsidR="003D171B" w:rsidRPr="003C1B99" w:rsidRDefault="003D171B" w:rsidP="003D171B">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1CE0DCEC" w14:textId="77777777" w:rsidR="003D171B" w:rsidRDefault="003D171B" w:rsidP="00FB216F">
            <w:pPr>
              <w:pStyle w:val="ListBullet1"/>
              <w:numPr>
                <w:ilvl w:val="0"/>
                <w:numId w:val="0"/>
              </w:numPr>
            </w:pPr>
            <w:r>
              <w:t>In emergency situations we may require a tenant to move to alternative accommodation.</w:t>
            </w:r>
          </w:p>
          <w:p w14:paraId="1E19D520" w14:textId="418D8FF3" w:rsidR="003D171B" w:rsidRDefault="003D171B" w:rsidP="00FB216F">
            <w:pPr>
              <w:pStyle w:val="ListBullet1"/>
              <w:numPr>
                <w:ilvl w:val="0"/>
                <w:numId w:val="0"/>
              </w:numPr>
            </w:pPr>
          </w:p>
        </w:tc>
      </w:tr>
      <w:tr w:rsidR="003D171B" w:rsidRPr="007D0DCD" w14:paraId="032FE375" w14:textId="77777777" w:rsidTr="5787A12A">
        <w:tc>
          <w:tcPr>
            <w:tcW w:w="817" w:type="dxa"/>
            <w:tcBorders>
              <w:top w:val="nil"/>
              <w:left w:val="nil"/>
              <w:bottom w:val="nil"/>
              <w:right w:val="nil"/>
            </w:tcBorders>
          </w:tcPr>
          <w:p w14:paraId="51F588B6" w14:textId="77777777" w:rsidR="003D171B" w:rsidRPr="003C1B99" w:rsidRDefault="003D171B" w:rsidP="003D171B">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5AC07E55" w14:textId="0A4EB5EA" w:rsidR="003D171B" w:rsidRDefault="003D171B" w:rsidP="00FB216F">
            <w:pPr>
              <w:pStyle w:val="ListBullet1"/>
              <w:numPr>
                <w:ilvl w:val="0"/>
                <w:numId w:val="0"/>
              </w:numPr>
            </w:pPr>
            <w:r>
              <w:t>We will assist tenants where possible but also encourage them to approach their Local Authority to seek assistance and declare themselves homeless</w:t>
            </w:r>
            <w:r w:rsidR="00E05951">
              <w:t xml:space="preserve"> to secure appropriate temporary </w:t>
            </w:r>
            <w:r w:rsidR="00687D5E">
              <w:t>accommodation</w:t>
            </w:r>
            <w:r>
              <w:t>.</w:t>
            </w:r>
          </w:p>
          <w:p w14:paraId="538A7ED0" w14:textId="20AAC075" w:rsidR="003D171B" w:rsidRDefault="003D171B" w:rsidP="00FB216F">
            <w:pPr>
              <w:pStyle w:val="ListBullet1"/>
              <w:numPr>
                <w:ilvl w:val="0"/>
                <w:numId w:val="0"/>
              </w:numPr>
            </w:pPr>
          </w:p>
        </w:tc>
      </w:tr>
      <w:tr w:rsidR="003D171B" w:rsidRPr="007D0DCD" w14:paraId="3EE80B67" w14:textId="77777777" w:rsidTr="5787A12A">
        <w:tc>
          <w:tcPr>
            <w:tcW w:w="817" w:type="dxa"/>
            <w:tcBorders>
              <w:top w:val="nil"/>
              <w:left w:val="nil"/>
              <w:bottom w:val="nil"/>
              <w:right w:val="nil"/>
            </w:tcBorders>
          </w:tcPr>
          <w:p w14:paraId="1D2E21D7" w14:textId="77777777" w:rsidR="003D171B" w:rsidRPr="003C1B99" w:rsidRDefault="003D171B" w:rsidP="003D171B">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7837C094" w14:textId="4491D481" w:rsidR="003D171B" w:rsidRDefault="003D171B" w:rsidP="003D171B">
            <w:pPr>
              <w:pStyle w:val="ListBullet1"/>
              <w:numPr>
                <w:ilvl w:val="0"/>
                <w:numId w:val="0"/>
              </w:numPr>
            </w:pPr>
            <w:r>
              <w:t xml:space="preserve">When an emergency decant is required, the aim is to find accommodation quickly. In the first instance, we will see whether the tenant can stay with their family or friends. Where family or friends cannot help, we may use emergency accommodation such as bed and breakfast, hotels, or any other accommodation we can source quickly. </w:t>
            </w:r>
          </w:p>
          <w:p w14:paraId="0DD4FC84" w14:textId="68FAE4D9" w:rsidR="003D171B" w:rsidRDefault="003D171B" w:rsidP="003D171B">
            <w:pPr>
              <w:pStyle w:val="ListBullet1"/>
              <w:numPr>
                <w:ilvl w:val="0"/>
                <w:numId w:val="0"/>
              </w:numPr>
            </w:pPr>
          </w:p>
        </w:tc>
      </w:tr>
      <w:tr w:rsidR="003D171B" w:rsidRPr="007D0DCD" w14:paraId="1EFD8F6D" w14:textId="77777777" w:rsidTr="5787A12A">
        <w:tc>
          <w:tcPr>
            <w:tcW w:w="817" w:type="dxa"/>
            <w:tcBorders>
              <w:top w:val="nil"/>
              <w:left w:val="nil"/>
              <w:bottom w:val="nil"/>
              <w:right w:val="nil"/>
            </w:tcBorders>
          </w:tcPr>
          <w:p w14:paraId="63E3CCB0" w14:textId="77777777" w:rsidR="003D171B" w:rsidRPr="003C1B99" w:rsidRDefault="003D171B" w:rsidP="003D171B">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78554A18" w14:textId="77777777" w:rsidR="003D171B" w:rsidRDefault="003D171B" w:rsidP="00FB216F">
            <w:pPr>
              <w:pStyle w:val="ListBullet1"/>
              <w:numPr>
                <w:ilvl w:val="0"/>
                <w:numId w:val="0"/>
              </w:numPr>
            </w:pPr>
            <w:r>
              <w:t xml:space="preserve">We will, in nearly all cases, assist our tenants to find emergency accommodation in the first instance. There are three main exceptions: </w:t>
            </w:r>
          </w:p>
          <w:p w14:paraId="11EF304C" w14:textId="77777777" w:rsidR="00AD0867" w:rsidRDefault="00AD0867" w:rsidP="00FB216F">
            <w:pPr>
              <w:pStyle w:val="ListBullet1"/>
              <w:numPr>
                <w:ilvl w:val="0"/>
                <w:numId w:val="0"/>
              </w:numPr>
            </w:pPr>
          </w:p>
          <w:p w14:paraId="50BFC2F0" w14:textId="77777777" w:rsidR="003D171B" w:rsidRDefault="003D171B" w:rsidP="004E5351">
            <w:pPr>
              <w:pStyle w:val="ListBullet1"/>
              <w:numPr>
                <w:ilvl w:val="1"/>
                <w:numId w:val="24"/>
              </w:numPr>
              <w:ind w:left="771"/>
            </w:pPr>
            <w:r>
              <w:lastRenderedPageBreak/>
              <w:t xml:space="preserve">if the tenant’s own insurance company is arranging accommodation; </w:t>
            </w:r>
          </w:p>
          <w:p w14:paraId="3EAA595B" w14:textId="77777777" w:rsidR="003D171B" w:rsidRDefault="003D171B" w:rsidP="004E5351">
            <w:pPr>
              <w:pStyle w:val="ListBullet1"/>
              <w:numPr>
                <w:ilvl w:val="1"/>
                <w:numId w:val="24"/>
              </w:numPr>
              <w:ind w:left="771"/>
            </w:pPr>
            <w:r>
              <w:t>if a third party is at fault and they intend to provide accommodation;</w:t>
            </w:r>
          </w:p>
          <w:p w14:paraId="6F05C4C6" w14:textId="2832CC0E" w:rsidR="003D171B" w:rsidRDefault="003D171B" w:rsidP="004E5351">
            <w:pPr>
              <w:pStyle w:val="ListBullet1"/>
              <w:numPr>
                <w:ilvl w:val="1"/>
                <w:numId w:val="24"/>
              </w:numPr>
              <w:ind w:left="771"/>
            </w:pPr>
            <w:r>
              <w:t>if we reasonably believe the tenant caused the emergency, and we intend to take enforcement action against them.</w:t>
            </w:r>
          </w:p>
          <w:p w14:paraId="353074CC" w14:textId="4A8906C5" w:rsidR="003D171B" w:rsidRDefault="003D171B" w:rsidP="00FB216F">
            <w:pPr>
              <w:pStyle w:val="ListBullet1"/>
              <w:numPr>
                <w:ilvl w:val="0"/>
                <w:numId w:val="0"/>
              </w:numPr>
            </w:pPr>
          </w:p>
        </w:tc>
      </w:tr>
      <w:tr w:rsidR="003D171B" w:rsidRPr="007D0DCD" w14:paraId="53A057FE" w14:textId="77777777" w:rsidTr="5787A12A">
        <w:tc>
          <w:tcPr>
            <w:tcW w:w="817" w:type="dxa"/>
            <w:tcBorders>
              <w:top w:val="nil"/>
              <w:left w:val="nil"/>
              <w:bottom w:val="nil"/>
              <w:right w:val="nil"/>
            </w:tcBorders>
          </w:tcPr>
          <w:p w14:paraId="72D75782" w14:textId="77777777" w:rsidR="003D171B" w:rsidRPr="003C1B99" w:rsidRDefault="003D171B" w:rsidP="003D171B">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72E4E801" w14:textId="7E7C00D9" w:rsidR="003D171B" w:rsidRDefault="003D171B" w:rsidP="00FB216F">
            <w:pPr>
              <w:pStyle w:val="ListBullet1"/>
              <w:numPr>
                <w:ilvl w:val="0"/>
                <w:numId w:val="0"/>
              </w:numPr>
            </w:pPr>
            <w:r>
              <w:t xml:space="preserve">We do not offer emergency accommodation for homeowners </w:t>
            </w:r>
            <w:r w:rsidR="004F0CB8">
              <w:t xml:space="preserve">or shared owners </w:t>
            </w:r>
            <w:r>
              <w:t>but may, at our discretion, offer advice and assistance. Homeowners are expected to make a claim on their building’s insurance if applicable. If not, homeowners will be referred to the Housing Options Team at the local authority.</w:t>
            </w:r>
          </w:p>
          <w:p w14:paraId="4A44FCBA" w14:textId="6BA2E762" w:rsidR="003D171B" w:rsidRDefault="003D171B" w:rsidP="00FB216F">
            <w:pPr>
              <w:pStyle w:val="ListBullet1"/>
              <w:numPr>
                <w:ilvl w:val="0"/>
                <w:numId w:val="0"/>
              </w:numPr>
            </w:pPr>
          </w:p>
        </w:tc>
      </w:tr>
      <w:tr w:rsidR="00FB216F" w:rsidRPr="007D0DCD" w14:paraId="65630D61" w14:textId="77777777" w:rsidTr="5787A12A">
        <w:tc>
          <w:tcPr>
            <w:tcW w:w="817" w:type="dxa"/>
            <w:tcBorders>
              <w:top w:val="nil"/>
              <w:left w:val="nil"/>
              <w:bottom w:val="nil"/>
              <w:right w:val="nil"/>
            </w:tcBorders>
          </w:tcPr>
          <w:p w14:paraId="51324F8F" w14:textId="77777777" w:rsidR="00FB216F" w:rsidRPr="003C1B99" w:rsidRDefault="00FB216F" w:rsidP="00FB216F">
            <w:pPr>
              <w:pStyle w:val="ListParagraph"/>
              <w:numPr>
                <w:ilvl w:val="0"/>
                <w:numId w:val="5"/>
              </w:numPr>
              <w:rPr>
                <w:rFonts w:eastAsia="Times New Roman" w:cs="Arial"/>
                <w:b w:val="0"/>
                <w:color w:val="auto"/>
                <w:szCs w:val="20"/>
                <w:lang w:eastAsia="en-GB"/>
              </w:rPr>
            </w:pPr>
          </w:p>
        </w:tc>
        <w:tc>
          <w:tcPr>
            <w:tcW w:w="8816" w:type="dxa"/>
            <w:tcBorders>
              <w:top w:val="nil"/>
              <w:left w:val="nil"/>
              <w:bottom w:val="nil"/>
              <w:right w:val="nil"/>
            </w:tcBorders>
          </w:tcPr>
          <w:p w14:paraId="12230AD3" w14:textId="4B47FFD0" w:rsidR="00FB216F" w:rsidRPr="00CC18FE" w:rsidRDefault="00FB216F" w:rsidP="00FB216F">
            <w:pPr>
              <w:pStyle w:val="ListBullet1"/>
              <w:numPr>
                <w:ilvl w:val="0"/>
                <w:numId w:val="0"/>
              </w:numPr>
              <w:rPr>
                <w:rFonts w:ascii="Calibri" w:hAnsi="Calibri"/>
                <w:lang w:eastAsia="en-GB"/>
              </w:rPr>
            </w:pPr>
            <w:r w:rsidRPr="00805E2B">
              <w:rPr>
                <w:rFonts w:ascii="Calibri" w:eastAsia="Times New Roman" w:hAnsi="Calibri"/>
                <w:b/>
                <w:bCs/>
                <w:caps/>
                <w:color w:val="7AC142"/>
                <w:szCs w:val="32"/>
                <w:lang w:val="en-US"/>
              </w:rPr>
              <w:t>Temporary Decant</w:t>
            </w:r>
          </w:p>
        </w:tc>
      </w:tr>
      <w:tr w:rsidR="00FB216F" w:rsidRPr="007D0DCD" w14:paraId="3A7E5C94" w14:textId="77777777" w:rsidTr="5787A12A">
        <w:tc>
          <w:tcPr>
            <w:tcW w:w="817" w:type="dxa"/>
            <w:tcBorders>
              <w:top w:val="nil"/>
              <w:left w:val="nil"/>
              <w:bottom w:val="nil"/>
              <w:right w:val="nil"/>
            </w:tcBorders>
          </w:tcPr>
          <w:p w14:paraId="24051C14"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312FCEF"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0E940D6A" w14:textId="77777777" w:rsidTr="5787A12A">
        <w:tc>
          <w:tcPr>
            <w:tcW w:w="817" w:type="dxa"/>
            <w:tcBorders>
              <w:top w:val="nil"/>
              <w:left w:val="nil"/>
              <w:bottom w:val="nil"/>
              <w:right w:val="nil"/>
            </w:tcBorders>
          </w:tcPr>
          <w:p w14:paraId="1CB26811"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734242D" w14:textId="77777777" w:rsidR="00FB216F" w:rsidRDefault="00FB216F" w:rsidP="00FB216F">
            <w:pPr>
              <w:pStyle w:val="ListBullet1"/>
              <w:numPr>
                <w:ilvl w:val="0"/>
                <w:numId w:val="0"/>
              </w:numPr>
            </w:pPr>
            <w:r>
              <w:rPr>
                <w:rFonts w:ascii="Calibri" w:hAnsi="Calibri"/>
                <w:lang w:eastAsia="en-GB"/>
              </w:rPr>
              <w:t>The Trust r</w:t>
            </w:r>
            <w:r>
              <w:t xml:space="preserve">ecognises that providing temporary alternative accommodation may be required in some circumstances. Examples include: </w:t>
            </w:r>
          </w:p>
          <w:p w14:paraId="7BE4C381" w14:textId="4EEED2FA" w:rsidR="00FB216F" w:rsidRPr="004E5351" w:rsidRDefault="00FB216F" w:rsidP="004E5351">
            <w:pPr>
              <w:pStyle w:val="ListBullet1"/>
              <w:ind w:left="346"/>
            </w:pPr>
            <w:r w:rsidRPr="004E5351">
              <w:t xml:space="preserve">Incidents such as fire or flood </w:t>
            </w:r>
          </w:p>
          <w:p w14:paraId="67EF71B7" w14:textId="6DC5CC76" w:rsidR="00FB216F" w:rsidRPr="004E5351" w:rsidRDefault="00FB216F" w:rsidP="004E5351">
            <w:pPr>
              <w:pStyle w:val="ListBullet1"/>
              <w:ind w:left="346"/>
            </w:pPr>
            <w:r w:rsidRPr="004E5351">
              <w:t xml:space="preserve">Major repairs where it is not reasonable for a customer to remain living in their home throughout the duration of the works </w:t>
            </w:r>
          </w:p>
          <w:p w14:paraId="28EC2484" w14:textId="6A60F99A" w:rsidR="00FB216F" w:rsidRPr="004E5351" w:rsidRDefault="00FB216F" w:rsidP="004E5351">
            <w:pPr>
              <w:pStyle w:val="ListBullet1"/>
              <w:ind w:left="346"/>
            </w:pPr>
            <w:r w:rsidRPr="004E5351">
              <w:t xml:space="preserve">Cases where a customer is at risk of harm living at their home </w:t>
            </w:r>
          </w:p>
          <w:p w14:paraId="1F38FD54" w14:textId="77777777" w:rsidR="00FB216F" w:rsidRDefault="00FB216F" w:rsidP="00FB216F">
            <w:pPr>
              <w:pStyle w:val="ListBullet1"/>
              <w:numPr>
                <w:ilvl w:val="0"/>
                <w:numId w:val="0"/>
              </w:numPr>
            </w:pPr>
          </w:p>
          <w:p w14:paraId="034F26E7" w14:textId="0641A3E3" w:rsidR="00FB216F" w:rsidRPr="00CC18FE" w:rsidRDefault="00FB216F" w:rsidP="00FB216F">
            <w:pPr>
              <w:pStyle w:val="ListBullet1"/>
              <w:numPr>
                <w:ilvl w:val="0"/>
                <w:numId w:val="0"/>
              </w:numPr>
              <w:rPr>
                <w:rFonts w:ascii="Calibri" w:hAnsi="Calibri"/>
                <w:lang w:eastAsia="en-GB"/>
              </w:rPr>
            </w:pPr>
            <w:r>
              <w:t>The decision to offer alternative accommodation will be made following a property survey or considering supporting information provided by relevant external agencies.</w:t>
            </w:r>
          </w:p>
        </w:tc>
      </w:tr>
      <w:tr w:rsidR="00FB216F" w:rsidRPr="007D0DCD" w14:paraId="5FBF0834" w14:textId="77777777" w:rsidTr="5787A12A">
        <w:tc>
          <w:tcPr>
            <w:tcW w:w="817" w:type="dxa"/>
            <w:tcBorders>
              <w:top w:val="nil"/>
              <w:left w:val="nil"/>
              <w:bottom w:val="nil"/>
              <w:right w:val="nil"/>
            </w:tcBorders>
          </w:tcPr>
          <w:p w14:paraId="60D35667"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26A6956C"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4CB34A52" w14:textId="77777777" w:rsidTr="5787A12A">
        <w:tc>
          <w:tcPr>
            <w:tcW w:w="817" w:type="dxa"/>
            <w:tcBorders>
              <w:top w:val="nil"/>
              <w:left w:val="nil"/>
              <w:bottom w:val="nil"/>
              <w:right w:val="nil"/>
            </w:tcBorders>
          </w:tcPr>
          <w:p w14:paraId="3EAAA708"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225EABA" w14:textId="77777777" w:rsidR="00FB216F" w:rsidRDefault="00FB216F" w:rsidP="00FB216F">
            <w:pPr>
              <w:pStyle w:val="ListBullet1"/>
              <w:numPr>
                <w:ilvl w:val="0"/>
                <w:numId w:val="0"/>
              </w:numPr>
            </w:pPr>
            <w:r>
              <w:t xml:space="preserve">Alternative accommodation will be provided that could consist of: </w:t>
            </w:r>
          </w:p>
          <w:p w14:paraId="278AD8F2" w14:textId="31952129" w:rsidR="00FB216F" w:rsidRPr="004E5351" w:rsidRDefault="00FB216F" w:rsidP="004E5351">
            <w:pPr>
              <w:pStyle w:val="ListBullet1"/>
              <w:ind w:left="346"/>
            </w:pPr>
            <w:r w:rsidRPr="004E5351">
              <w:t xml:space="preserve">An alternative Trust home or other landlord </w:t>
            </w:r>
          </w:p>
          <w:p w14:paraId="76B7993D" w14:textId="66E147DE" w:rsidR="00FB216F" w:rsidRPr="004E5351" w:rsidRDefault="00FB216F" w:rsidP="004E5351">
            <w:pPr>
              <w:pStyle w:val="ListBullet1"/>
              <w:ind w:left="346"/>
            </w:pPr>
            <w:r w:rsidRPr="004E5351">
              <w:t xml:space="preserve">Hotel accommodation </w:t>
            </w:r>
          </w:p>
          <w:p w14:paraId="21F954CC" w14:textId="6688DC18" w:rsidR="00FB216F" w:rsidRPr="004E5351" w:rsidRDefault="00FB216F" w:rsidP="004E5351">
            <w:pPr>
              <w:pStyle w:val="ListBullet1"/>
              <w:ind w:left="346"/>
            </w:pPr>
            <w:r w:rsidRPr="004E5351">
              <w:t xml:space="preserve">Temporary private accommodation </w:t>
            </w:r>
          </w:p>
          <w:p w14:paraId="33D6A637" w14:textId="1515B584" w:rsidR="00FB216F" w:rsidRPr="00CC18FE" w:rsidRDefault="00FB216F" w:rsidP="004E5351">
            <w:pPr>
              <w:pStyle w:val="ListBullet1"/>
              <w:ind w:left="346"/>
              <w:rPr>
                <w:rFonts w:ascii="Calibri" w:hAnsi="Calibri"/>
                <w:lang w:eastAsia="en-GB"/>
              </w:rPr>
            </w:pPr>
            <w:r w:rsidRPr="004E5351">
              <w:t>Accommodation provided by the local authority</w:t>
            </w:r>
          </w:p>
        </w:tc>
      </w:tr>
      <w:tr w:rsidR="00FB216F" w:rsidRPr="007D0DCD" w14:paraId="06E94E4A" w14:textId="77777777" w:rsidTr="5787A12A">
        <w:tc>
          <w:tcPr>
            <w:tcW w:w="817" w:type="dxa"/>
            <w:tcBorders>
              <w:top w:val="nil"/>
              <w:left w:val="nil"/>
              <w:bottom w:val="nil"/>
              <w:right w:val="nil"/>
            </w:tcBorders>
          </w:tcPr>
          <w:p w14:paraId="15370A6D"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B97BAE1"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25B38AF6" w14:textId="77777777" w:rsidTr="5787A12A">
        <w:tc>
          <w:tcPr>
            <w:tcW w:w="817" w:type="dxa"/>
            <w:tcBorders>
              <w:top w:val="nil"/>
              <w:left w:val="nil"/>
              <w:bottom w:val="nil"/>
              <w:right w:val="nil"/>
            </w:tcBorders>
          </w:tcPr>
          <w:p w14:paraId="3F6D2CCC"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A5C65A0" w14:textId="59EAE52C" w:rsidR="00FB216F" w:rsidRPr="00CC18FE" w:rsidRDefault="00FB216F" w:rsidP="00FB216F">
            <w:pPr>
              <w:pStyle w:val="ListBullet1"/>
              <w:numPr>
                <w:ilvl w:val="0"/>
                <w:numId w:val="0"/>
              </w:numPr>
              <w:rPr>
                <w:rFonts w:ascii="Calibri" w:hAnsi="Calibri"/>
                <w:lang w:eastAsia="en-GB"/>
              </w:rPr>
            </w:pPr>
            <w:r>
              <w:rPr>
                <w:rFonts w:ascii="Calibri" w:hAnsi="Calibri"/>
                <w:lang w:eastAsia="en-GB"/>
              </w:rPr>
              <w:t>W</w:t>
            </w:r>
            <w:r>
              <w:t>e will aim to provide a suitable decant property that will be based on the tenant</w:t>
            </w:r>
            <w:r w:rsidR="00687D5E">
              <w:t>(</w:t>
            </w:r>
            <w:r>
              <w:t>s</w:t>
            </w:r>
            <w:r w:rsidR="00687D5E">
              <w:t>)</w:t>
            </w:r>
            <w:r>
              <w:t xml:space="preserve"> family makeup, medical needs, and the location of their current home. Consideration will be given where the need to access schools or workplaces exists, but it may not always be possible to accommodate these considerations dependent on the availability of housing stock</w:t>
            </w:r>
            <w:r w:rsidR="00687D5E">
              <w:t>.</w:t>
            </w:r>
          </w:p>
        </w:tc>
      </w:tr>
      <w:tr w:rsidR="00FB216F" w:rsidRPr="007D0DCD" w14:paraId="14C0D261" w14:textId="77777777" w:rsidTr="5787A12A">
        <w:tc>
          <w:tcPr>
            <w:tcW w:w="817" w:type="dxa"/>
            <w:tcBorders>
              <w:top w:val="nil"/>
              <w:left w:val="nil"/>
              <w:bottom w:val="nil"/>
              <w:right w:val="nil"/>
            </w:tcBorders>
          </w:tcPr>
          <w:p w14:paraId="61058016"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2B0FB5DE"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3B676D8F" w14:textId="77777777" w:rsidTr="5787A12A">
        <w:tc>
          <w:tcPr>
            <w:tcW w:w="817" w:type="dxa"/>
            <w:tcBorders>
              <w:top w:val="nil"/>
              <w:left w:val="nil"/>
              <w:bottom w:val="nil"/>
              <w:right w:val="nil"/>
            </w:tcBorders>
          </w:tcPr>
          <w:p w14:paraId="445386B7"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12D1788" w14:textId="7CDC7472" w:rsidR="00FB216F" w:rsidRDefault="00687D5E" w:rsidP="00FB216F">
            <w:pPr>
              <w:pStyle w:val="ListBullet1"/>
              <w:numPr>
                <w:ilvl w:val="0"/>
                <w:numId w:val="0"/>
              </w:numPr>
            </w:pPr>
            <w:r>
              <w:t>Reasonable</w:t>
            </w:r>
            <w:r w:rsidR="00FB216F">
              <w:t xml:space="preserve"> assistance and expenses will be considered</w:t>
            </w:r>
            <w:r>
              <w:t>,</w:t>
            </w:r>
            <w:r w:rsidR="00FB216F">
              <w:t xml:space="preserve"> including but not limited to the following: </w:t>
            </w:r>
          </w:p>
          <w:p w14:paraId="01758148" w14:textId="516C1E78" w:rsidR="00FB216F" w:rsidRPr="004E5351" w:rsidRDefault="00FB216F" w:rsidP="004E5351">
            <w:pPr>
              <w:pStyle w:val="ListBullet1"/>
              <w:ind w:left="346"/>
            </w:pPr>
            <w:r w:rsidRPr="004E5351">
              <w:t xml:space="preserve">Disconnection and reconnection of utilities and supplies </w:t>
            </w:r>
          </w:p>
          <w:p w14:paraId="14B1FF68" w14:textId="3C20CD48" w:rsidR="00FB216F" w:rsidRPr="004E5351" w:rsidRDefault="00FB216F" w:rsidP="004E5351">
            <w:pPr>
              <w:pStyle w:val="ListBullet1"/>
              <w:ind w:left="346"/>
            </w:pPr>
            <w:r w:rsidRPr="004E5351">
              <w:t xml:space="preserve">Removals and storage of furniture </w:t>
            </w:r>
          </w:p>
          <w:p w14:paraId="1180BE5B" w14:textId="3D7AD32E" w:rsidR="00FB216F" w:rsidRPr="004E5351" w:rsidRDefault="00FB216F" w:rsidP="004E5351">
            <w:pPr>
              <w:pStyle w:val="ListBullet1"/>
              <w:ind w:left="346"/>
            </w:pPr>
            <w:r w:rsidRPr="004E5351">
              <w:t xml:space="preserve">Assistance with packing for customers who are not able to complete this themselves </w:t>
            </w:r>
          </w:p>
          <w:p w14:paraId="5363EC27" w14:textId="5428F5A9" w:rsidR="00FB216F" w:rsidRPr="00CC18FE" w:rsidRDefault="00FB216F" w:rsidP="004E5351">
            <w:pPr>
              <w:pStyle w:val="ListBullet1"/>
              <w:ind w:left="346"/>
              <w:rPr>
                <w:rFonts w:ascii="Calibri" w:hAnsi="Calibri"/>
                <w:lang w:eastAsia="en-GB"/>
              </w:rPr>
            </w:pPr>
            <w:r w:rsidRPr="004E5351">
              <w:t>Associated tasks such as redirection of mail</w:t>
            </w:r>
          </w:p>
        </w:tc>
      </w:tr>
      <w:tr w:rsidR="00FB216F" w:rsidRPr="007D0DCD" w14:paraId="7D00106B" w14:textId="77777777" w:rsidTr="5787A12A">
        <w:tc>
          <w:tcPr>
            <w:tcW w:w="817" w:type="dxa"/>
            <w:tcBorders>
              <w:top w:val="nil"/>
              <w:left w:val="nil"/>
              <w:bottom w:val="nil"/>
              <w:right w:val="nil"/>
            </w:tcBorders>
          </w:tcPr>
          <w:p w14:paraId="09E2D52E"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5E18EB19"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5EDEC562" w14:textId="77777777" w:rsidTr="5787A12A">
        <w:tc>
          <w:tcPr>
            <w:tcW w:w="817" w:type="dxa"/>
            <w:tcBorders>
              <w:top w:val="nil"/>
              <w:left w:val="nil"/>
              <w:bottom w:val="nil"/>
              <w:right w:val="nil"/>
            </w:tcBorders>
          </w:tcPr>
          <w:p w14:paraId="0682E01F"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5DCB37E" w14:textId="7CD2C472" w:rsidR="00FB216F" w:rsidRPr="00CC18FE" w:rsidRDefault="00FB216F" w:rsidP="00FB216F">
            <w:pPr>
              <w:pStyle w:val="ListBullet1"/>
              <w:numPr>
                <w:ilvl w:val="0"/>
                <w:numId w:val="0"/>
              </w:numPr>
              <w:rPr>
                <w:rFonts w:ascii="Calibri" w:hAnsi="Calibri"/>
                <w:lang w:eastAsia="en-GB"/>
              </w:rPr>
            </w:pPr>
            <w:r>
              <w:t xml:space="preserve">Once the Trust is satisfied that the original property is habitable and/or safe for the customer to return we reserve the right to end the temporary accommodation, however we will give sufficient notice to the </w:t>
            </w:r>
            <w:r w:rsidR="00687D5E">
              <w:t>tenant</w:t>
            </w:r>
            <w:r>
              <w:t>.</w:t>
            </w:r>
          </w:p>
        </w:tc>
      </w:tr>
      <w:tr w:rsidR="00FB216F" w:rsidRPr="007D0DCD" w14:paraId="7600482A" w14:textId="77777777" w:rsidTr="5787A12A">
        <w:tc>
          <w:tcPr>
            <w:tcW w:w="817" w:type="dxa"/>
            <w:tcBorders>
              <w:top w:val="nil"/>
              <w:left w:val="nil"/>
              <w:bottom w:val="nil"/>
              <w:right w:val="nil"/>
            </w:tcBorders>
          </w:tcPr>
          <w:p w14:paraId="23472DED"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CB99118" w14:textId="77777777" w:rsidR="00FB216F" w:rsidRPr="00CC18FE" w:rsidRDefault="00FB216F" w:rsidP="00FB216F">
            <w:pPr>
              <w:pStyle w:val="ListBullet1"/>
              <w:numPr>
                <w:ilvl w:val="0"/>
                <w:numId w:val="0"/>
              </w:numPr>
              <w:rPr>
                <w:rFonts w:ascii="Calibri" w:hAnsi="Calibri"/>
                <w:lang w:eastAsia="en-GB"/>
              </w:rPr>
            </w:pPr>
          </w:p>
        </w:tc>
      </w:tr>
      <w:tr w:rsidR="00D53C32" w:rsidRPr="007D0DCD" w14:paraId="31A291C5" w14:textId="77777777" w:rsidTr="5787A12A">
        <w:tc>
          <w:tcPr>
            <w:tcW w:w="817" w:type="dxa"/>
            <w:tcBorders>
              <w:top w:val="nil"/>
              <w:left w:val="nil"/>
              <w:bottom w:val="nil"/>
              <w:right w:val="nil"/>
            </w:tcBorders>
          </w:tcPr>
          <w:p w14:paraId="4E16CFBE" w14:textId="77777777" w:rsidR="00D53C32" w:rsidRPr="003C1B99" w:rsidRDefault="00D53C32"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C2C7C1F" w14:textId="1E540059" w:rsidR="00D53C32" w:rsidRDefault="00D53C32" w:rsidP="00FB216F">
            <w:pPr>
              <w:pStyle w:val="ListBullet1"/>
              <w:numPr>
                <w:ilvl w:val="0"/>
                <w:numId w:val="0"/>
              </w:numPr>
            </w:pPr>
            <w:r>
              <w:t xml:space="preserve">Rent will remain payable on the principal home for the duration of any decant. </w:t>
            </w:r>
          </w:p>
        </w:tc>
      </w:tr>
      <w:tr w:rsidR="00D53C32" w:rsidRPr="007D0DCD" w14:paraId="18C5A36B" w14:textId="77777777" w:rsidTr="5787A12A">
        <w:tc>
          <w:tcPr>
            <w:tcW w:w="817" w:type="dxa"/>
            <w:tcBorders>
              <w:top w:val="nil"/>
              <w:left w:val="nil"/>
              <w:bottom w:val="nil"/>
              <w:right w:val="nil"/>
            </w:tcBorders>
          </w:tcPr>
          <w:p w14:paraId="00862337" w14:textId="77777777" w:rsidR="00D53C32" w:rsidRPr="003C1B99" w:rsidRDefault="00D53C32" w:rsidP="00AD086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5019533" w14:textId="77777777" w:rsidR="00D53C32" w:rsidRPr="00AD0867" w:rsidRDefault="00D53C32" w:rsidP="00AD0867">
            <w:pPr>
              <w:pStyle w:val="ListBullet1"/>
              <w:numPr>
                <w:ilvl w:val="0"/>
                <w:numId w:val="0"/>
              </w:numPr>
              <w:ind w:left="431"/>
              <w:rPr>
                <w:rFonts w:ascii="Calibri" w:eastAsia="Times New Roman" w:hAnsi="Calibri" w:cs="Arial"/>
                <w:szCs w:val="20"/>
                <w:lang w:eastAsia="en-GB"/>
              </w:rPr>
            </w:pPr>
          </w:p>
        </w:tc>
      </w:tr>
      <w:tr w:rsidR="00FB216F" w:rsidRPr="007D0DCD" w14:paraId="5D8DA90D" w14:textId="77777777" w:rsidTr="5787A12A">
        <w:tc>
          <w:tcPr>
            <w:tcW w:w="817" w:type="dxa"/>
            <w:tcBorders>
              <w:top w:val="nil"/>
              <w:left w:val="nil"/>
              <w:bottom w:val="nil"/>
              <w:right w:val="nil"/>
            </w:tcBorders>
          </w:tcPr>
          <w:p w14:paraId="03DD7C9B"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301F7D6" w14:textId="7FFE4B35" w:rsidR="00FB216F" w:rsidRPr="00CC18FE" w:rsidRDefault="00FB216F" w:rsidP="00FB216F">
            <w:pPr>
              <w:pStyle w:val="ListBullet1"/>
              <w:numPr>
                <w:ilvl w:val="0"/>
                <w:numId w:val="0"/>
              </w:numPr>
              <w:rPr>
                <w:rFonts w:ascii="Calibri" w:hAnsi="Calibri"/>
                <w:lang w:eastAsia="en-GB"/>
              </w:rPr>
            </w:pPr>
            <w:r>
              <w:t xml:space="preserve">A </w:t>
            </w:r>
            <w:r w:rsidR="00687D5E">
              <w:t>tenant</w:t>
            </w:r>
            <w:r>
              <w:t xml:space="preserve"> who is moved to a decant property on a temporary basis may prefer to stay in the decant property on a permanent basis, rather than moving back when any work has been completed. Any such request would need to be approved through the Exceptional Lets</w:t>
            </w:r>
            <w:r w:rsidR="004F0CB8">
              <w:t xml:space="preserve"> (within the Transfer Policy)</w:t>
            </w:r>
            <w:r>
              <w:t xml:space="preserve"> and would only be considered if the decant property was suitable for the tenant and/or their family.</w:t>
            </w:r>
          </w:p>
        </w:tc>
      </w:tr>
      <w:tr w:rsidR="00FB216F" w:rsidRPr="007D0DCD" w14:paraId="09BB3B35" w14:textId="77777777" w:rsidTr="5787A12A">
        <w:tc>
          <w:tcPr>
            <w:tcW w:w="817" w:type="dxa"/>
            <w:tcBorders>
              <w:top w:val="nil"/>
              <w:left w:val="nil"/>
              <w:bottom w:val="nil"/>
              <w:right w:val="nil"/>
            </w:tcBorders>
          </w:tcPr>
          <w:p w14:paraId="1E9B4F89"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746FF41"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0B1721F9" w14:textId="77777777" w:rsidTr="5787A12A">
        <w:tc>
          <w:tcPr>
            <w:tcW w:w="817" w:type="dxa"/>
            <w:tcBorders>
              <w:top w:val="nil"/>
              <w:left w:val="nil"/>
              <w:bottom w:val="nil"/>
              <w:right w:val="nil"/>
            </w:tcBorders>
          </w:tcPr>
          <w:p w14:paraId="6EDB0484" w14:textId="77777777" w:rsidR="00FB216F" w:rsidRPr="003C1B99" w:rsidRDefault="00FB216F" w:rsidP="00FB216F">
            <w:pPr>
              <w:pStyle w:val="ListParagraph"/>
              <w:numPr>
                <w:ilvl w:val="0"/>
                <w:numId w:val="5"/>
              </w:numPr>
              <w:rPr>
                <w:rFonts w:eastAsia="Times New Roman" w:cs="Arial"/>
                <w:b w:val="0"/>
                <w:color w:val="auto"/>
                <w:szCs w:val="20"/>
                <w:lang w:eastAsia="en-GB"/>
              </w:rPr>
            </w:pPr>
          </w:p>
        </w:tc>
        <w:tc>
          <w:tcPr>
            <w:tcW w:w="8816" w:type="dxa"/>
            <w:tcBorders>
              <w:top w:val="nil"/>
              <w:left w:val="nil"/>
              <w:bottom w:val="nil"/>
              <w:right w:val="nil"/>
            </w:tcBorders>
          </w:tcPr>
          <w:p w14:paraId="634938DB" w14:textId="2FD130DF" w:rsidR="00FB216F" w:rsidRPr="00CC18FE" w:rsidRDefault="00FB216F" w:rsidP="00FB216F">
            <w:pPr>
              <w:pStyle w:val="ListBullet1"/>
              <w:numPr>
                <w:ilvl w:val="0"/>
                <w:numId w:val="0"/>
              </w:numPr>
              <w:rPr>
                <w:rFonts w:ascii="Calibri" w:hAnsi="Calibri"/>
                <w:lang w:eastAsia="en-GB"/>
              </w:rPr>
            </w:pPr>
            <w:r w:rsidRPr="00805E2B">
              <w:rPr>
                <w:rFonts w:ascii="Calibri" w:eastAsia="Times New Roman" w:hAnsi="Calibri"/>
                <w:b/>
                <w:bCs/>
                <w:caps/>
                <w:color w:val="7AC142"/>
                <w:szCs w:val="32"/>
                <w:lang w:val="en-US"/>
              </w:rPr>
              <w:t>Permanent Decants</w:t>
            </w:r>
          </w:p>
        </w:tc>
      </w:tr>
      <w:tr w:rsidR="00FB216F" w:rsidRPr="007D0DCD" w14:paraId="5EF9CF52" w14:textId="77777777" w:rsidTr="5787A12A">
        <w:tc>
          <w:tcPr>
            <w:tcW w:w="817" w:type="dxa"/>
            <w:tcBorders>
              <w:top w:val="nil"/>
              <w:left w:val="nil"/>
              <w:bottom w:val="nil"/>
              <w:right w:val="nil"/>
            </w:tcBorders>
          </w:tcPr>
          <w:p w14:paraId="117EFCF7"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FBB495A"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28E57C3A" w14:textId="77777777" w:rsidTr="5787A12A">
        <w:tc>
          <w:tcPr>
            <w:tcW w:w="817" w:type="dxa"/>
            <w:tcBorders>
              <w:top w:val="nil"/>
              <w:left w:val="nil"/>
              <w:bottom w:val="nil"/>
              <w:right w:val="nil"/>
            </w:tcBorders>
          </w:tcPr>
          <w:p w14:paraId="30935D86"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218461F" w14:textId="77777777" w:rsidR="00FB216F" w:rsidRDefault="00FB216F" w:rsidP="00FB216F">
            <w:pPr>
              <w:pStyle w:val="ListBullet1"/>
              <w:numPr>
                <w:ilvl w:val="0"/>
                <w:numId w:val="0"/>
              </w:numPr>
            </w:pPr>
            <w:r>
              <w:t>Permanent decants will be considered where a tenant is unable to remain in their current home and there is no intention that they will return. Examples of where a permanent decant may be required would include demolition of a property.</w:t>
            </w:r>
          </w:p>
          <w:p w14:paraId="2077A444" w14:textId="4D60C7AD" w:rsidR="00C06D07" w:rsidRPr="00CC18FE" w:rsidRDefault="00C06D07" w:rsidP="00FB216F">
            <w:pPr>
              <w:pStyle w:val="ListBullet1"/>
              <w:numPr>
                <w:ilvl w:val="0"/>
                <w:numId w:val="0"/>
              </w:numPr>
              <w:rPr>
                <w:rFonts w:ascii="Calibri" w:hAnsi="Calibri"/>
                <w:lang w:eastAsia="en-GB"/>
              </w:rPr>
            </w:pPr>
          </w:p>
        </w:tc>
      </w:tr>
      <w:tr w:rsidR="00C06D07" w:rsidRPr="007D0DCD" w14:paraId="58828E8A" w14:textId="77777777" w:rsidTr="5787A12A">
        <w:tc>
          <w:tcPr>
            <w:tcW w:w="817" w:type="dxa"/>
            <w:tcBorders>
              <w:top w:val="nil"/>
              <w:left w:val="nil"/>
              <w:bottom w:val="nil"/>
              <w:right w:val="nil"/>
            </w:tcBorders>
          </w:tcPr>
          <w:p w14:paraId="08C3096D" w14:textId="77777777" w:rsidR="00C06D07" w:rsidRPr="003C1B99" w:rsidRDefault="00C06D07"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5B63859" w14:textId="77777777" w:rsidR="00C06D07" w:rsidRDefault="00C06D07" w:rsidP="00FB216F">
            <w:pPr>
              <w:pStyle w:val="ListBullet1"/>
              <w:numPr>
                <w:ilvl w:val="0"/>
                <w:numId w:val="0"/>
              </w:numPr>
            </w:pPr>
            <w:r>
              <w:t>The decision to redevelop, change the use, or dispose of a property is made by the Executive Management Team or by the Board.</w:t>
            </w:r>
          </w:p>
          <w:p w14:paraId="3D4D45FB" w14:textId="32BF5702" w:rsidR="00C06D07" w:rsidRDefault="00C06D07" w:rsidP="00FB216F">
            <w:pPr>
              <w:pStyle w:val="ListBullet1"/>
              <w:numPr>
                <w:ilvl w:val="0"/>
                <w:numId w:val="0"/>
              </w:numPr>
            </w:pPr>
          </w:p>
        </w:tc>
      </w:tr>
      <w:tr w:rsidR="00FB216F" w:rsidRPr="007D0DCD" w14:paraId="2750B085" w14:textId="77777777" w:rsidTr="5787A12A">
        <w:tc>
          <w:tcPr>
            <w:tcW w:w="817" w:type="dxa"/>
            <w:tcBorders>
              <w:top w:val="nil"/>
              <w:left w:val="nil"/>
              <w:bottom w:val="nil"/>
              <w:right w:val="nil"/>
            </w:tcBorders>
          </w:tcPr>
          <w:p w14:paraId="0B210C37"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59993CE" w14:textId="77777777" w:rsidR="00FB216F" w:rsidRDefault="00C06D07" w:rsidP="00FB216F">
            <w:pPr>
              <w:pStyle w:val="ListBullet1"/>
              <w:numPr>
                <w:ilvl w:val="0"/>
                <w:numId w:val="0"/>
              </w:numPr>
            </w:pPr>
            <w:r>
              <w:t xml:space="preserve">Where a permanent decant is required, this would result in a new letting. </w:t>
            </w:r>
          </w:p>
          <w:p w14:paraId="0DDE618A" w14:textId="1A9C998F" w:rsidR="00C06D07" w:rsidRPr="00CC18FE" w:rsidRDefault="00C06D07" w:rsidP="00FB216F">
            <w:pPr>
              <w:pStyle w:val="ListBullet1"/>
              <w:numPr>
                <w:ilvl w:val="0"/>
                <w:numId w:val="0"/>
              </w:numPr>
              <w:rPr>
                <w:rFonts w:ascii="Calibri" w:hAnsi="Calibri"/>
                <w:lang w:eastAsia="en-GB"/>
              </w:rPr>
            </w:pPr>
          </w:p>
        </w:tc>
      </w:tr>
      <w:tr w:rsidR="00FB216F" w:rsidRPr="007D0DCD" w14:paraId="78F9D210" w14:textId="77777777" w:rsidTr="5787A12A">
        <w:tc>
          <w:tcPr>
            <w:tcW w:w="817" w:type="dxa"/>
            <w:tcBorders>
              <w:top w:val="nil"/>
              <w:left w:val="nil"/>
              <w:bottom w:val="nil"/>
              <w:right w:val="nil"/>
            </w:tcBorders>
          </w:tcPr>
          <w:p w14:paraId="357D151C"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CBDFE65" w14:textId="22B5746D" w:rsidR="00C06D07" w:rsidRDefault="00C06D07" w:rsidP="00FB216F">
            <w:pPr>
              <w:pStyle w:val="ListBullet1"/>
              <w:numPr>
                <w:ilvl w:val="0"/>
                <w:numId w:val="0"/>
              </w:numPr>
            </w:pPr>
            <w:r>
              <w:t xml:space="preserve">In order to achieve successful outcomes, when we require </w:t>
            </w:r>
            <w:r w:rsidR="00687D5E">
              <w:t>tenant</w:t>
            </w:r>
            <w:r>
              <w:t xml:space="preserve">s to move we will; </w:t>
            </w:r>
          </w:p>
          <w:p w14:paraId="05A380BF" w14:textId="4EBBFC29" w:rsidR="00C06D07" w:rsidRDefault="00C06D07" w:rsidP="00C06D07">
            <w:pPr>
              <w:pStyle w:val="ListBullet1"/>
              <w:numPr>
                <w:ilvl w:val="0"/>
                <w:numId w:val="23"/>
              </w:numPr>
            </w:pPr>
            <w:r>
              <w:t>Consult the tenant affected (and their relatives or advocates if appropriate) at the earliest opportunity. We will explain the process (including the support available); identify, consider and respond to customers’ views, concerns and needs.</w:t>
            </w:r>
          </w:p>
          <w:p w14:paraId="6A4D1299" w14:textId="27B9A713" w:rsidR="00C06D07" w:rsidRDefault="00C06D07" w:rsidP="00C06D07">
            <w:pPr>
              <w:pStyle w:val="ListBullet1"/>
              <w:numPr>
                <w:ilvl w:val="0"/>
                <w:numId w:val="23"/>
              </w:numPr>
            </w:pPr>
            <w:r>
              <w:t>For substantial decant programs we will develop an action plan and keep individual tenants, the local authority, and any recognised residents associations operating in the area updated on our progress.</w:t>
            </w:r>
          </w:p>
          <w:p w14:paraId="18DD52CF" w14:textId="77777777" w:rsidR="00C06D07" w:rsidRDefault="00C06D07" w:rsidP="00C06D07">
            <w:pPr>
              <w:pStyle w:val="ListBullet1"/>
              <w:numPr>
                <w:ilvl w:val="0"/>
                <w:numId w:val="23"/>
              </w:numPr>
            </w:pPr>
            <w:r>
              <w:t xml:space="preserve">Discuss how we identify and offer potential alternative properties. </w:t>
            </w:r>
          </w:p>
          <w:p w14:paraId="0CB8BCC0" w14:textId="59ED96AA" w:rsidR="00C06D07" w:rsidRDefault="00C06D07" w:rsidP="00C06D07">
            <w:pPr>
              <w:pStyle w:val="ListBullet1"/>
              <w:numPr>
                <w:ilvl w:val="0"/>
                <w:numId w:val="23"/>
              </w:numPr>
            </w:pPr>
            <w:r>
              <w:t xml:space="preserve">Clarify whether the </w:t>
            </w:r>
            <w:r w:rsidR="00687D5E">
              <w:t>tenant</w:t>
            </w:r>
            <w:r>
              <w:t xml:space="preserve"> might have the option to return to a new property on the same site. </w:t>
            </w:r>
          </w:p>
          <w:p w14:paraId="7480FB93" w14:textId="0AB9EB3A" w:rsidR="00C06D07" w:rsidRDefault="00C06D07" w:rsidP="00C06D07">
            <w:pPr>
              <w:pStyle w:val="ListBullet1"/>
              <w:numPr>
                <w:ilvl w:val="0"/>
                <w:numId w:val="23"/>
              </w:numPr>
            </w:pPr>
            <w:r>
              <w:t xml:space="preserve">Identify a dedicated member of staff who will be key point of contact in relation to the decant; and who will be responsible for making sure that all moves go as smoothly as possible. </w:t>
            </w:r>
          </w:p>
          <w:p w14:paraId="75FA854D" w14:textId="0909B4C8" w:rsidR="00C06D07" w:rsidRDefault="00C06D07" w:rsidP="00C06D07">
            <w:pPr>
              <w:pStyle w:val="ListBullet1"/>
              <w:numPr>
                <w:ilvl w:val="0"/>
                <w:numId w:val="23"/>
              </w:numPr>
            </w:pPr>
            <w:r>
              <w:t xml:space="preserve">Treat each move individually, recognising, respecting and responding to </w:t>
            </w:r>
            <w:r w:rsidR="00687D5E">
              <w:t>tenants</w:t>
            </w:r>
            <w:r>
              <w:t xml:space="preserve"> different needs, circumstances and requirements. Certain groups of customers may need extra support such as older people, lone parents, non-English speaking households, or those with mental ill-health, or a physical or learning disability.</w:t>
            </w:r>
          </w:p>
          <w:p w14:paraId="678CEFF3" w14:textId="77777777" w:rsidR="00C06D07" w:rsidRDefault="00C06D07" w:rsidP="00C06D07">
            <w:pPr>
              <w:pStyle w:val="ListBullet1"/>
              <w:numPr>
                <w:ilvl w:val="0"/>
                <w:numId w:val="23"/>
              </w:numPr>
            </w:pPr>
            <w:r>
              <w:t>Take into account, wherever possible, preferred locations and property types. If a tenant wishes to move to an area where the Trust does not have any or appropriate properties, we will approach other Providers to seek a reciprocal move, but we cannot offer the certainty of this being successful. If this is not possible we will work with the customer to achieve the most equitable solution.</w:t>
            </w:r>
          </w:p>
          <w:p w14:paraId="51004E79" w14:textId="77777777" w:rsidR="00C06D07" w:rsidRDefault="00C06D07" w:rsidP="00C06D07">
            <w:pPr>
              <w:pStyle w:val="ListBullet1"/>
              <w:numPr>
                <w:ilvl w:val="0"/>
                <w:numId w:val="23"/>
              </w:numPr>
            </w:pPr>
            <w:r>
              <w:t>Clarify the financial package available, which will include disturbance payments in addition to the Statutory Home Loss payment.</w:t>
            </w:r>
          </w:p>
          <w:p w14:paraId="1A9FA140" w14:textId="086A5DDE" w:rsidR="00C06D07" w:rsidRPr="00C06D07" w:rsidRDefault="00C06D07" w:rsidP="00C06D07">
            <w:pPr>
              <w:pStyle w:val="ListBullet1"/>
              <w:numPr>
                <w:ilvl w:val="0"/>
                <w:numId w:val="0"/>
              </w:numPr>
              <w:ind w:left="720"/>
            </w:pPr>
          </w:p>
        </w:tc>
      </w:tr>
      <w:tr w:rsidR="00FB216F" w:rsidRPr="007D0DCD" w14:paraId="7488AE36" w14:textId="77777777" w:rsidTr="5787A12A">
        <w:tc>
          <w:tcPr>
            <w:tcW w:w="817" w:type="dxa"/>
            <w:tcBorders>
              <w:top w:val="nil"/>
              <w:left w:val="nil"/>
              <w:bottom w:val="nil"/>
              <w:right w:val="nil"/>
            </w:tcBorders>
          </w:tcPr>
          <w:p w14:paraId="22FCAA66"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354288B" w14:textId="77777777" w:rsidR="00FB216F" w:rsidRDefault="00C06D07" w:rsidP="00FB216F">
            <w:pPr>
              <w:pStyle w:val="ListBullet1"/>
              <w:numPr>
                <w:ilvl w:val="0"/>
                <w:numId w:val="0"/>
              </w:numPr>
            </w:pPr>
            <w:r>
              <w:t>Whilst we will do everything we can to ensure that suitable offers of alternative accommodation are made to decanting tenants, we will still only offer accommodation on a like for like basis, unless the customer wishes to move to a smaller property. A tenant would not be decanted to a home larger than their household needs.</w:t>
            </w:r>
          </w:p>
          <w:p w14:paraId="5221C4D3" w14:textId="37869A53" w:rsidR="00C06D07" w:rsidRPr="00CC18FE" w:rsidRDefault="00C06D07" w:rsidP="00FB216F">
            <w:pPr>
              <w:pStyle w:val="ListBullet1"/>
              <w:numPr>
                <w:ilvl w:val="0"/>
                <w:numId w:val="0"/>
              </w:numPr>
              <w:rPr>
                <w:rFonts w:ascii="Calibri" w:hAnsi="Calibri"/>
                <w:lang w:eastAsia="en-GB"/>
              </w:rPr>
            </w:pPr>
          </w:p>
        </w:tc>
      </w:tr>
      <w:tr w:rsidR="0006459D" w:rsidRPr="007D0DCD" w14:paraId="0A96DD8F" w14:textId="77777777" w:rsidTr="5787A12A">
        <w:tc>
          <w:tcPr>
            <w:tcW w:w="817" w:type="dxa"/>
            <w:tcBorders>
              <w:top w:val="nil"/>
              <w:left w:val="nil"/>
              <w:bottom w:val="nil"/>
              <w:right w:val="nil"/>
            </w:tcBorders>
          </w:tcPr>
          <w:p w14:paraId="5BD616CE" w14:textId="77777777" w:rsidR="0006459D" w:rsidRPr="003C1B99" w:rsidRDefault="0006459D"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8CAC40F" w14:textId="64596CA7" w:rsidR="0006459D" w:rsidRDefault="0006459D" w:rsidP="00FB216F">
            <w:pPr>
              <w:pStyle w:val="ListBullet1"/>
              <w:numPr>
                <w:ilvl w:val="0"/>
                <w:numId w:val="0"/>
              </w:numPr>
            </w:pPr>
            <w:r>
              <w:t>Tenants will be encouraged to register with the relevant Local Authority allocation scheme and awarded the appropriate priority</w:t>
            </w:r>
            <w:r w:rsidR="00031B4D">
              <w:t>, so that they have further choice with other providers.</w:t>
            </w:r>
          </w:p>
          <w:p w14:paraId="3F35B613" w14:textId="333270D8" w:rsidR="0006459D" w:rsidRDefault="0006459D" w:rsidP="00FB216F">
            <w:pPr>
              <w:pStyle w:val="ListBullet1"/>
              <w:numPr>
                <w:ilvl w:val="0"/>
                <w:numId w:val="0"/>
              </w:numPr>
            </w:pPr>
          </w:p>
        </w:tc>
      </w:tr>
      <w:tr w:rsidR="0006459D" w:rsidRPr="007D0DCD" w14:paraId="699D7932" w14:textId="77777777" w:rsidTr="5787A12A">
        <w:tc>
          <w:tcPr>
            <w:tcW w:w="817" w:type="dxa"/>
            <w:tcBorders>
              <w:top w:val="nil"/>
              <w:left w:val="nil"/>
              <w:bottom w:val="nil"/>
              <w:right w:val="nil"/>
            </w:tcBorders>
          </w:tcPr>
          <w:p w14:paraId="50C1F9A4" w14:textId="77777777" w:rsidR="0006459D" w:rsidRPr="003C1B99" w:rsidRDefault="0006459D"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CA5EC9B" w14:textId="57802AC1" w:rsidR="0006459D" w:rsidRDefault="0006459D" w:rsidP="00FB216F">
            <w:pPr>
              <w:pStyle w:val="ListBullet1"/>
              <w:numPr>
                <w:ilvl w:val="0"/>
                <w:numId w:val="0"/>
              </w:numPr>
            </w:pPr>
            <w:r>
              <w:t>The tenant will retain their security of tenure where they are rehoused by the Trust. If they are rehoused by another provider, then they will decide on the tenure offer. Rent for the new property will be set at relet target rent in line with the Rent Setting Policy.</w:t>
            </w:r>
          </w:p>
          <w:p w14:paraId="3C92DFB8" w14:textId="37E47133" w:rsidR="0006459D" w:rsidRDefault="0006459D" w:rsidP="00FB216F">
            <w:pPr>
              <w:pStyle w:val="ListBullet1"/>
              <w:numPr>
                <w:ilvl w:val="0"/>
                <w:numId w:val="0"/>
              </w:numPr>
            </w:pPr>
          </w:p>
        </w:tc>
      </w:tr>
      <w:tr w:rsidR="00C06D07" w:rsidRPr="007D0DCD" w14:paraId="0E350E18" w14:textId="77777777" w:rsidTr="5787A12A">
        <w:tc>
          <w:tcPr>
            <w:tcW w:w="817" w:type="dxa"/>
            <w:tcBorders>
              <w:top w:val="nil"/>
              <w:left w:val="nil"/>
              <w:bottom w:val="nil"/>
              <w:right w:val="nil"/>
            </w:tcBorders>
          </w:tcPr>
          <w:p w14:paraId="170A2A0D" w14:textId="77777777" w:rsidR="00C06D07" w:rsidRPr="003C1B99" w:rsidRDefault="00C06D07"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8CD49F8" w14:textId="490027D9" w:rsidR="00C06D07" w:rsidRDefault="00C06D07" w:rsidP="00FB216F">
            <w:pPr>
              <w:pStyle w:val="ListBullet1"/>
              <w:numPr>
                <w:ilvl w:val="0"/>
                <w:numId w:val="0"/>
              </w:numPr>
            </w:pPr>
            <w:r>
              <w:t xml:space="preserve">Although we will always be reasonable, and work with the </w:t>
            </w:r>
            <w:r w:rsidR="00031B4D">
              <w:t>tenant</w:t>
            </w:r>
            <w:r>
              <w:t xml:space="preserve"> to reach an acceptable solution, </w:t>
            </w:r>
            <w:r w:rsidR="0006459D">
              <w:t>we may at our discretion make more than one offer of accommodation to try and meet tenant needs. The number of offers made is at our discretion. W</w:t>
            </w:r>
            <w:r>
              <w:t xml:space="preserve">here a </w:t>
            </w:r>
            <w:r w:rsidR="00031B4D">
              <w:t>tenant</w:t>
            </w:r>
            <w:r>
              <w:t xml:space="preserve"> refuses to move despite 3 suitable offers having been made we may consider legal action under the Housing Act 1988 schedule II.</w:t>
            </w:r>
          </w:p>
          <w:p w14:paraId="7BFC0412" w14:textId="0DC71FFC" w:rsidR="00CD6F51" w:rsidRDefault="00CD6F51" w:rsidP="00FB216F">
            <w:pPr>
              <w:pStyle w:val="ListBullet1"/>
              <w:numPr>
                <w:ilvl w:val="0"/>
                <w:numId w:val="0"/>
              </w:numPr>
            </w:pPr>
          </w:p>
        </w:tc>
      </w:tr>
      <w:tr w:rsidR="00FB216F" w:rsidRPr="007D0DCD" w14:paraId="7077311F" w14:textId="77777777" w:rsidTr="5787A12A">
        <w:tc>
          <w:tcPr>
            <w:tcW w:w="817" w:type="dxa"/>
            <w:tcBorders>
              <w:top w:val="nil"/>
              <w:left w:val="nil"/>
              <w:bottom w:val="nil"/>
              <w:right w:val="nil"/>
            </w:tcBorders>
          </w:tcPr>
          <w:p w14:paraId="4E4B5B04" w14:textId="77777777" w:rsidR="00FB216F" w:rsidRPr="003C1B99" w:rsidRDefault="00FB216F" w:rsidP="00FB216F">
            <w:pPr>
              <w:pStyle w:val="ListParagraph"/>
              <w:numPr>
                <w:ilvl w:val="0"/>
                <w:numId w:val="5"/>
              </w:numPr>
              <w:rPr>
                <w:rFonts w:eastAsia="Times New Roman" w:cs="Arial"/>
                <w:b w:val="0"/>
                <w:color w:val="auto"/>
                <w:szCs w:val="20"/>
                <w:lang w:eastAsia="en-GB"/>
              </w:rPr>
            </w:pPr>
          </w:p>
        </w:tc>
        <w:tc>
          <w:tcPr>
            <w:tcW w:w="8816" w:type="dxa"/>
            <w:tcBorders>
              <w:top w:val="nil"/>
              <w:left w:val="nil"/>
              <w:bottom w:val="nil"/>
              <w:right w:val="nil"/>
            </w:tcBorders>
          </w:tcPr>
          <w:p w14:paraId="3BEF9014" w14:textId="61B1C7E1" w:rsidR="00FB216F" w:rsidRPr="00CC18FE" w:rsidRDefault="00FB216F" w:rsidP="00FB216F">
            <w:pPr>
              <w:pStyle w:val="ListBullet1"/>
              <w:numPr>
                <w:ilvl w:val="0"/>
                <w:numId w:val="0"/>
              </w:numPr>
              <w:rPr>
                <w:rFonts w:ascii="Calibri" w:hAnsi="Calibri"/>
                <w:lang w:eastAsia="en-GB"/>
              </w:rPr>
            </w:pPr>
            <w:r w:rsidRPr="00805E2B">
              <w:rPr>
                <w:rFonts w:ascii="Calibri" w:eastAsia="Times New Roman" w:hAnsi="Calibri"/>
                <w:b/>
                <w:bCs/>
                <w:caps/>
                <w:color w:val="7AC142"/>
                <w:szCs w:val="32"/>
                <w:lang w:val="en-US"/>
              </w:rPr>
              <w:t>Garages</w:t>
            </w:r>
          </w:p>
        </w:tc>
      </w:tr>
      <w:tr w:rsidR="00B00D73" w:rsidRPr="007D0DCD" w14:paraId="0F0C4CEC" w14:textId="77777777" w:rsidTr="5787A12A">
        <w:tc>
          <w:tcPr>
            <w:tcW w:w="817" w:type="dxa"/>
            <w:tcBorders>
              <w:top w:val="nil"/>
              <w:left w:val="nil"/>
              <w:bottom w:val="nil"/>
              <w:right w:val="nil"/>
            </w:tcBorders>
          </w:tcPr>
          <w:p w14:paraId="080ED693" w14:textId="77777777" w:rsidR="00B00D73" w:rsidRPr="003C1B99" w:rsidRDefault="00B00D73" w:rsidP="00B00D73">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3C4A7236" w14:textId="77777777" w:rsidR="00B00D73" w:rsidRPr="00805E2B" w:rsidRDefault="00B00D73" w:rsidP="00FB216F">
            <w:pPr>
              <w:pStyle w:val="ListBullet1"/>
              <w:numPr>
                <w:ilvl w:val="0"/>
                <w:numId w:val="0"/>
              </w:numPr>
              <w:rPr>
                <w:rFonts w:ascii="Calibri" w:eastAsia="Times New Roman" w:hAnsi="Calibri"/>
                <w:b/>
                <w:bCs/>
                <w:caps/>
                <w:color w:val="7AC142"/>
                <w:szCs w:val="32"/>
                <w:lang w:val="en-US"/>
              </w:rPr>
            </w:pPr>
          </w:p>
        </w:tc>
      </w:tr>
      <w:tr w:rsidR="00FB216F" w:rsidRPr="007D0DCD" w14:paraId="26C786B2" w14:textId="77777777" w:rsidTr="5787A12A">
        <w:tc>
          <w:tcPr>
            <w:tcW w:w="817" w:type="dxa"/>
            <w:tcBorders>
              <w:top w:val="nil"/>
              <w:left w:val="nil"/>
              <w:bottom w:val="nil"/>
              <w:right w:val="nil"/>
            </w:tcBorders>
          </w:tcPr>
          <w:p w14:paraId="27A454A5"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1BA99C8" w14:textId="03B282F1" w:rsidR="00FB216F" w:rsidRDefault="00FB216F" w:rsidP="00FB216F">
            <w:pPr>
              <w:pStyle w:val="ListBullet1"/>
              <w:numPr>
                <w:ilvl w:val="0"/>
                <w:numId w:val="0"/>
              </w:numPr>
            </w:pPr>
            <w:r>
              <w:t xml:space="preserve">We may need to offer a </w:t>
            </w:r>
            <w:r w:rsidR="00031B4D">
              <w:t>tenant</w:t>
            </w:r>
            <w:r>
              <w:t xml:space="preserve"> an alternative garage due to an emergency repair or maintenance issue, leaving the current garage unusable. In these </w:t>
            </w:r>
            <w:r w:rsidR="00031B4D">
              <w:t>cases,</w:t>
            </w:r>
            <w:r>
              <w:t xml:space="preserve"> we will seek to find a suitable alternative garage for the customer.</w:t>
            </w:r>
          </w:p>
          <w:p w14:paraId="66500472" w14:textId="4493E392" w:rsidR="00805E2B" w:rsidRPr="00CC18FE" w:rsidRDefault="00805E2B" w:rsidP="00FB216F">
            <w:pPr>
              <w:pStyle w:val="ListBullet1"/>
              <w:numPr>
                <w:ilvl w:val="0"/>
                <w:numId w:val="0"/>
              </w:numPr>
              <w:rPr>
                <w:rFonts w:ascii="Calibri" w:hAnsi="Calibri"/>
                <w:lang w:eastAsia="en-GB"/>
              </w:rPr>
            </w:pPr>
          </w:p>
        </w:tc>
      </w:tr>
      <w:tr w:rsidR="00FB216F" w:rsidRPr="007D0DCD" w14:paraId="503023C7" w14:textId="77777777" w:rsidTr="5787A12A">
        <w:tc>
          <w:tcPr>
            <w:tcW w:w="817" w:type="dxa"/>
            <w:tcBorders>
              <w:top w:val="nil"/>
              <w:left w:val="nil"/>
              <w:bottom w:val="nil"/>
              <w:right w:val="nil"/>
            </w:tcBorders>
          </w:tcPr>
          <w:p w14:paraId="4F87291D"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F590ADE" w14:textId="6435ECD9" w:rsidR="00FB216F" w:rsidRDefault="00FB216F" w:rsidP="00FB216F">
            <w:pPr>
              <w:pStyle w:val="ListBullet1"/>
              <w:numPr>
                <w:ilvl w:val="0"/>
                <w:numId w:val="0"/>
              </w:numPr>
            </w:pPr>
            <w:r>
              <w:t xml:space="preserve">There will be no financial support provided to customers as a result of moving garages. If we intend to dispose of or demolish a block of garages, we will advise the </w:t>
            </w:r>
            <w:r w:rsidR="00031B4D">
              <w:t>tenant</w:t>
            </w:r>
            <w:r>
              <w:t xml:space="preserve"> of our intentions to ‘take back’ the garage. These customers are not entitled to any home loss or disturbance allowance payments.</w:t>
            </w:r>
          </w:p>
          <w:p w14:paraId="0F411E32" w14:textId="5C664C13" w:rsidR="00805E2B" w:rsidRPr="00CC18FE" w:rsidRDefault="00805E2B" w:rsidP="00FB216F">
            <w:pPr>
              <w:pStyle w:val="ListBullet1"/>
              <w:numPr>
                <w:ilvl w:val="0"/>
                <w:numId w:val="0"/>
              </w:numPr>
              <w:rPr>
                <w:rFonts w:ascii="Calibri" w:hAnsi="Calibri"/>
                <w:lang w:eastAsia="en-GB"/>
              </w:rPr>
            </w:pPr>
          </w:p>
        </w:tc>
      </w:tr>
      <w:tr w:rsidR="00FB216F" w:rsidRPr="007D0DCD" w14:paraId="0B211887" w14:textId="77777777" w:rsidTr="5787A12A">
        <w:tc>
          <w:tcPr>
            <w:tcW w:w="817" w:type="dxa"/>
            <w:tcBorders>
              <w:top w:val="nil"/>
              <w:left w:val="nil"/>
              <w:bottom w:val="nil"/>
              <w:right w:val="nil"/>
            </w:tcBorders>
          </w:tcPr>
          <w:p w14:paraId="3A29AE41"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795D400" w14:textId="77777777" w:rsidR="00FB216F" w:rsidRDefault="00FB216F" w:rsidP="00FB216F">
            <w:pPr>
              <w:pStyle w:val="ListBullet1"/>
              <w:numPr>
                <w:ilvl w:val="0"/>
                <w:numId w:val="0"/>
              </w:numPr>
            </w:pPr>
            <w:r>
              <w:t>We will provide reasonable notice of our intention to take the garage back, and will provide support to the customer in finding an alternative garage for rent.</w:t>
            </w:r>
          </w:p>
          <w:p w14:paraId="6C0EB420" w14:textId="3E86143D" w:rsidR="00805E2B" w:rsidRDefault="00805E2B" w:rsidP="00FB216F">
            <w:pPr>
              <w:pStyle w:val="ListBullet1"/>
              <w:numPr>
                <w:ilvl w:val="0"/>
                <w:numId w:val="0"/>
              </w:numPr>
            </w:pPr>
          </w:p>
        </w:tc>
      </w:tr>
      <w:tr w:rsidR="00FB216F" w:rsidRPr="007D0DCD" w14:paraId="55375BAE" w14:textId="77777777" w:rsidTr="5787A12A">
        <w:tc>
          <w:tcPr>
            <w:tcW w:w="817" w:type="dxa"/>
            <w:tcBorders>
              <w:top w:val="nil"/>
              <w:left w:val="nil"/>
              <w:bottom w:val="nil"/>
              <w:right w:val="nil"/>
            </w:tcBorders>
          </w:tcPr>
          <w:p w14:paraId="0FB6B1E9"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ED3FA54" w14:textId="5BB01C9F" w:rsidR="00FB216F" w:rsidRDefault="00FB216F" w:rsidP="00FB216F">
            <w:pPr>
              <w:pStyle w:val="ListBullet1"/>
              <w:numPr>
                <w:ilvl w:val="0"/>
                <w:numId w:val="0"/>
              </w:numPr>
            </w:pPr>
            <w:r>
              <w:t>The garage rent account must be clear before an alternative garage is provided.</w:t>
            </w:r>
          </w:p>
        </w:tc>
      </w:tr>
      <w:tr w:rsidR="00FB216F" w:rsidRPr="007D0DCD" w14:paraId="3C06D464" w14:textId="77777777" w:rsidTr="5787A12A">
        <w:tc>
          <w:tcPr>
            <w:tcW w:w="817" w:type="dxa"/>
            <w:tcBorders>
              <w:top w:val="nil"/>
              <w:left w:val="nil"/>
              <w:bottom w:val="nil"/>
              <w:right w:val="nil"/>
            </w:tcBorders>
          </w:tcPr>
          <w:p w14:paraId="064477E6" w14:textId="77777777" w:rsidR="00FB216F" w:rsidRPr="003C1B99" w:rsidRDefault="00FB216F" w:rsidP="00AD0867">
            <w:pPr>
              <w:pStyle w:val="ListParagraph"/>
              <w:spacing w:after="240"/>
              <w:ind w:left="431"/>
              <w:rPr>
                <w:rFonts w:eastAsia="Times New Roman" w:cs="Arial"/>
                <w:b w:val="0"/>
                <w:color w:val="auto"/>
                <w:szCs w:val="20"/>
                <w:lang w:eastAsia="en-GB"/>
              </w:rPr>
            </w:pPr>
          </w:p>
        </w:tc>
        <w:tc>
          <w:tcPr>
            <w:tcW w:w="8816" w:type="dxa"/>
            <w:tcBorders>
              <w:top w:val="nil"/>
              <w:left w:val="nil"/>
              <w:bottom w:val="nil"/>
              <w:right w:val="nil"/>
            </w:tcBorders>
          </w:tcPr>
          <w:p w14:paraId="0BB864FC"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41BA9E83" w14:textId="77777777" w:rsidTr="5787A12A">
        <w:tc>
          <w:tcPr>
            <w:tcW w:w="817" w:type="dxa"/>
            <w:tcBorders>
              <w:top w:val="nil"/>
              <w:left w:val="nil"/>
              <w:bottom w:val="nil"/>
              <w:right w:val="nil"/>
            </w:tcBorders>
          </w:tcPr>
          <w:p w14:paraId="23AB136D" w14:textId="77777777" w:rsidR="00FB216F" w:rsidRPr="003C1B99" w:rsidRDefault="00FB216F" w:rsidP="00FB216F">
            <w:pPr>
              <w:pStyle w:val="ListParagraph"/>
              <w:numPr>
                <w:ilvl w:val="0"/>
                <w:numId w:val="5"/>
              </w:numPr>
              <w:rPr>
                <w:rFonts w:eastAsia="Times New Roman" w:cs="Arial"/>
                <w:b w:val="0"/>
                <w:color w:val="auto"/>
                <w:szCs w:val="20"/>
                <w:lang w:eastAsia="en-GB"/>
              </w:rPr>
            </w:pPr>
          </w:p>
        </w:tc>
        <w:tc>
          <w:tcPr>
            <w:tcW w:w="8816" w:type="dxa"/>
            <w:tcBorders>
              <w:top w:val="nil"/>
              <w:left w:val="nil"/>
              <w:bottom w:val="nil"/>
              <w:right w:val="nil"/>
            </w:tcBorders>
          </w:tcPr>
          <w:p w14:paraId="75150054" w14:textId="47CA1F9E" w:rsidR="00FB216F" w:rsidRPr="00FB216F" w:rsidRDefault="00FB216F" w:rsidP="00FB216F">
            <w:pPr>
              <w:pStyle w:val="ListBullet1"/>
              <w:numPr>
                <w:ilvl w:val="0"/>
                <w:numId w:val="0"/>
              </w:numPr>
              <w:rPr>
                <w:b/>
                <w:bCs/>
              </w:rPr>
            </w:pPr>
            <w:r w:rsidRPr="00805E2B">
              <w:rPr>
                <w:rFonts w:ascii="Calibri" w:eastAsia="Times New Roman" w:hAnsi="Calibri"/>
                <w:b/>
                <w:bCs/>
                <w:caps/>
                <w:color w:val="7AC142"/>
                <w:szCs w:val="32"/>
                <w:lang w:val="en-US"/>
              </w:rPr>
              <w:t>Home Loss</w:t>
            </w:r>
            <w:r w:rsidR="00B00D73">
              <w:rPr>
                <w:rFonts w:ascii="Calibri" w:eastAsia="Times New Roman" w:hAnsi="Calibri"/>
                <w:b/>
                <w:bCs/>
                <w:caps/>
                <w:color w:val="7AC142"/>
                <w:szCs w:val="32"/>
                <w:lang w:val="en-US"/>
              </w:rPr>
              <w:t xml:space="preserve"> and disturbance payments</w:t>
            </w:r>
          </w:p>
        </w:tc>
      </w:tr>
      <w:tr w:rsidR="00B00D73" w:rsidRPr="007D0DCD" w14:paraId="5FFDD878" w14:textId="77777777" w:rsidTr="5787A12A">
        <w:tc>
          <w:tcPr>
            <w:tcW w:w="817" w:type="dxa"/>
            <w:tcBorders>
              <w:top w:val="nil"/>
              <w:left w:val="nil"/>
              <w:bottom w:val="nil"/>
              <w:right w:val="nil"/>
            </w:tcBorders>
          </w:tcPr>
          <w:p w14:paraId="2678A58D" w14:textId="77777777" w:rsidR="00B00D73" w:rsidRPr="00B00D73" w:rsidRDefault="00B00D73" w:rsidP="00B00D73">
            <w:pPr>
              <w:rPr>
                <w:rFonts w:eastAsia="Times New Roman" w:cs="Arial"/>
                <w:szCs w:val="20"/>
                <w:lang w:eastAsia="en-GB"/>
              </w:rPr>
            </w:pPr>
          </w:p>
        </w:tc>
        <w:tc>
          <w:tcPr>
            <w:tcW w:w="8816" w:type="dxa"/>
            <w:tcBorders>
              <w:top w:val="nil"/>
              <w:left w:val="nil"/>
              <w:bottom w:val="nil"/>
              <w:right w:val="nil"/>
            </w:tcBorders>
          </w:tcPr>
          <w:p w14:paraId="7D73D6A1" w14:textId="77777777" w:rsidR="00B00D73" w:rsidRPr="00805E2B" w:rsidRDefault="00B00D73" w:rsidP="00FB216F">
            <w:pPr>
              <w:pStyle w:val="ListBullet1"/>
              <w:numPr>
                <w:ilvl w:val="0"/>
                <w:numId w:val="0"/>
              </w:numPr>
              <w:rPr>
                <w:rFonts w:ascii="Calibri" w:eastAsia="Times New Roman" w:hAnsi="Calibri"/>
                <w:b/>
                <w:bCs/>
                <w:caps/>
                <w:color w:val="7AC142"/>
                <w:szCs w:val="32"/>
                <w:lang w:val="en-US"/>
              </w:rPr>
            </w:pPr>
          </w:p>
        </w:tc>
      </w:tr>
      <w:tr w:rsidR="00FB216F" w:rsidRPr="007D0DCD" w14:paraId="2A27AD15" w14:textId="77777777" w:rsidTr="5787A12A">
        <w:tc>
          <w:tcPr>
            <w:tcW w:w="817" w:type="dxa"/>
            <w:tcBorders>
              <w:top w:val="nil"/>
              <w:left w:val="nil"/>
              <w:bottom w:val="nil"/>
              <w:right w:val="nil"/>
            </w:tcBorders>
          </w:tcPr>
          <w:p w14:paraId="29B35C2E"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0E41C89" w14:textId="0565150D" w:rsidR="00FB216F" w:rsidRPr="00CC18FE" w:rsidRDefault="00FB216F" w:rsidP="00FB216F">
            <w:pPr>
              <w:pStyle w:val="ListBullet1"/>
              <w:numPr>
                <w:ilvl w:val="0"/>
                <w:numId w:val="0"/>
              </w:numPr>
              <w:rPr>
                <w:rFonts w:ascii="Calibri" w:hAnsi="Calibri"/>
                <w:lang w:eastAsia="en-GB"/>
              </w:rPr>
            </w:pPr>
            <w:r w:rsidRPr="00FB216F">
              <w:t>Home Loss</w:t>
            </w:r>
            <w:r>
              <w:t xml:space="preserve"> is a statutory payment made to </w:t>
            </w:r>
            <w:r w:rsidR="00031B4D">
              <w:t>the tenant(</w:t>
            </w:r>
            <w:r>
              <w:t>s</w:t>
            </w:r>
            <w:r w:rsidR="00031B4D">
              <w:t>)</w:t>
            </w:r>
            <w:r>
              <w:t xml:space="preserve"> who have lived in their property for a minimum of 12 months at the point of displacement and are required to move home permanently as a result of redevelopment or demolition of their home</w:t>
            </w:r>
            <w:r w:rsidR="00031B4D">
              <w:t>.</w:t>
            </w:r>
          </w:p>
        </w:tc>
      </w:tr>
      <w:tr w:rsidR="00FB216F" w:rsidRPr="007D0DCD" w14:paraId="005C74D0" w14:textId="77777777" w:rsidTr="5787A12A">
        <w:tc>
          <w:tcPr>
            <w:tcW w:w="817" w:type="dxa"/>
            <w:tcBorders>
              <w:top w:val="nil"/>
              <w:left w:val="nil"/>
              <w:bottom w:val="nil"/>
              <w:right w:val="nil"/>
            </w:tcBorders>
          </w:tcPr>
          <w:p w14:paraId="4F27B507"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158A270" w14:textId="77777777" w:rsidR="00FB216F" w:rsidRPr="00CC18FE" w:rsidRDefault="00FB216F" w:rsidP="00FB216F">
            <w:pPr>
              <w:pStyle w:val="ListBullet1"/>
              <w:numPr>
                <w:ilvl w:val="0"/>
                <w:numId w:val="0"/>
              </w:numPr>
              <w:rPr>
                <w:rFonts w:ascii="Calibri" w:hAnsi="Calibri"/>
                <w:lang w:eastAsia="en-GB"/>
              </w:rPr>
            </w:pPr>
          </w:p>
        </w:tc>
      </w:tr>
      <w:tr w:rsidR="00FB216F" w:rsidRPr="007D0DCD" w14:paraId="3CD5EBBD" w14:textId="77777777" w:rsidTr="5787A12A">
        <w:tc>
          <w:tcPr>
            <w:tcW w:w="817" w:type="dxa"/>
            <w:tcBorders>
              <w:top w:val="nil"/>
              <w:left w:val="nil"/>
              <w:bottom w:val="nil"/>
              <w:right w:val="nil"/>
            </w:tcBorders>
          </w:tcPr>
          <w:p w14:paraId="75FA0608"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7592B8A" w14:textId="55CED01D" w:rsidR="00FB216F" w:rsidRDefault="00FB216F" w:rsidP="00FB216F">
            <w:pPr>
              <w:pStyle w:val="ListBullet1"/>
              <w:numPr>
                <w:ilvl w:val="0"/>
                <w:numId w:val="0"/>
              </w:numPr>
            </w:pPr>
            <w:r>
              <w:t xml:space="preserve">We will ensure prompt payment of Home Loss that is due to the </w:t>
            </w:r>
            <w:r w:rsidR="00031B4D">
              <w:t>tenant</w:t>
            </w:r>
            <w:r>
              <w:t xml:space="preserve"> and that the value of the Home loss payment is made in accordance with current legislation. Payment will be made within 3 months of receiving the claim. If a customer has rent arrears or recharges, the outstanding balance will be deducted from the Home Loss payment.</w:t>
            </w:r>
          </w:p>
          <w:p w14:paraId="13C66323" w14:textId="68FDB1CF" w:rsidR="00805E2B" w:rsidRPr="00CC18FE" w:rsidRDefault="00805E2B" w:rsidP="00FB216F">
            <w:pPr>
              <w:pStyle w:val="ListBullet1"/>
              <w:numPr>
                <w:ilvl w:val="0"/>
                <w:numId w:val="0"/>
              </w:numPr>
              <w:rPr>
                <w:rFonts w:ascii="Calibri" w:hAnsi="Calibri"/>
                <w:lang w:eastAsia="en-GB"/>
              </w:rPr>
            </w:pPr>
          </w:p>
        </w:tc>
      </w:tr>
      <w:tr w:rsidR="00FB216F" w:rsidRPr="007D0DCD" w14:paraId="22390E66" w14:textId="77777777" w:rsidTr="5787A12A">
        <w:tc>
          <w:tcPr>
            <w:tcW w:w="817" w:type="dxa"/>
            <w:tcBorders>
              <w:top w:val="nil"/>
              <w:left w:val="nil"/>
              <w:bottom w:val="nil"/>
              <w:right w:val="nil"/>
            </w:tcBorders>
          </w:tcPr>
          <w:p w14:paraId="6113FA39"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000A68E" w14:textId="77777777" w:rsidR="00FB216F" w:rsidRDefault="00FB216F" w:rsidP="00FB216F">
            <w:pPr>
              <w:pStyle w:val="ListBullet1"/>
              <w:numPr>
                <w:ilvl w:val="0"/>
                <w:numId w:val="0"/>
              </w:numPr>
            </w:pPr>
            <w:r>
              <w:t>Disturbance payments are made to cover out of pocket expenses. Payments may also be made to people who are required to move to another property temporarily or to people who have lived at a property less than 12 months and are required to move home permanently. This payment is for reasonable moving costs.</w:t>
            </w:r>
          </w:p>
          <w:p w14:paraId="56735963" w14:textId="5504E663" w:rsidR="00805E2B" w:rsidRDefault="00805E2B" w:rsidP="00FB216F">
            <w:pPr>
              <w:pStyle w:val="ListBullet1"/>
              <w:numPr>
                <w:ilvl w:val="0"/>
                <w:numId w:val="0"/>
              </w:numPr>
            </w:pPr>
          </w:p>
        </w:tc>
      </w:tr>
      <w:tr w:rsidR="00FB216F" w:rsidRPr="007D0DCD" w14:paraId="50FD5D94" w14:textId="77777777" w:rsidTr="5787A12A">
        <w:tc>
          <w:tcPr>
            <w:tcW w:w="817" w:type="dxa"/>
            <w:tcBorders>
              <w:top w:val="nil"/>
              <w:left w:val="nil"/>
              <w:bottom w:val="nil"/>
              <w:right w:val="nil"/>
            </w:tcBorders>
          </w:tcPr>
          <w:p w14:paraId="01EA13F5" w14:textId="77777777" w:rsidR="00FB216F" w:rsidRPr="003C1B99" w:rsidRDefault="00FB216F" w:rsidP="00FB216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C0C5AA0" w14:textId="70C0E375" w:rsidR="00FB216F" w:rsidRDefault="00FB216F" w:rsidP="00FB216F">
            <w:pPr>
              <w:pStyle w:val="ListBullet1"/>
              <w:numPr>
                <w:ilvl w:val="0"/>
                <w:numId w:val="0"/>
              </w:numPr>
            </w:pPr>
            <w:r>
              <w:t xml:space="preserve">If the option to return to the original home is offered, and the </w:t>
            </w:r>
            <w:r w:rsidR="00031B4D">
              <w:t>tenant</w:t>
            </w:r>
            <w:r>
              <w:t xml:space="preserve"> chooses to remain in the property they’ve been decanted to and we allow it, they will not qualify for any home loss payment. They will be granted the same tenancy type as they had in their original home and allowed to remain.</w:t>
            </w:r>
          </w:p>
        </w:tc>
      </w:tr>
      <w:tr w:rsidR="00FB216F" w:rsidRPr="007D0DCD" w14:paraId="140EB887" w14:textId="77777777" w:rsidTr="5787A12A">
        <w:tc>
          <w:tcPr>
            <w:tcW w:w="817" w:type="dxa"/>
            <w:tcBorders>
              <w:top w:val="nil"/>
              <w:left w:val="nil"/>
              <w:bottom w:val="nil"/>
              <w:right w:val="nil"/>
            </w:tcBorders>
          </w:tcPr>
          <w:p w14:paraId="75C18A13" w14:textId="77777777" w:rsidR="00FB216F" w:rsidRPr="007D0DCD" w:rsidRDefault="00FB216F" w:rsidP="00FB216F">
            <w:pPr>
              <w:rPr>
                <w:rFonts w:ascii="Calibri" w:eastAsia="Times New Roman" w:hAnsi="Calibri" w:cs="Arial"/>
                <w:szCs w:val="20"/>
                <w:lang w:eastAsia="en-GB"/>
              </w:rPr>
            </w:pPr>
          </w:p>
        </w:tc>
        <w:tc>
          <w:tcPr>
            <w:tcW w:w="8816" w:type="dxa"/>
            <w:tcBorders>
              <w:top w:val="nil"/>
              <w:left w:val="nil"/>
              <w:bottom w:val="nil"/>
              <w:right w:val="nil"/>
            </w:tcBorders>
          </w:tcPr>
          <w:p w14:paraId="1CDAE1A2" w14:textId="77777777" w:rsidR="00FB216F" w:rsidRPr="007D0DCD" w:rsidRDefault="00FB216F" w:rsidP="00FB216F">
            <w:pPr>
              <w:rPr>
                <w:rFonts w:ascii="Calibri" w:eastAsia="Times New Roman" w:hAnsi="Calibri" w:cs="Arial"/>
                <w:szCs w:val="20"/>
                <w:lang w:eastAsia="en-GB"/>
              </w:rPr>
            </w:pPr>
          </w:p>
        </w:tc>
      </w:tr>
      <w:tr w:rsidR="00FB216F" w:rsidRPr="007D0DCD" w14:paraId="06757603" w14:textId="77777777" w:rsidTr="5787A12A">
        <w:trPr>
          <w:trHeight w:hRule="exact" w:val="284"/>
        </w:trPr>
        <w:tc>
          <w:tcPr>
            <w:tcW w:w="817" w:type="dxa"/>
            <w:tcBorders>
              <w:top w:val="nil"/>
              <w:left w:val="nil"/>
              <w:bottom w:val="nil"/>
              <w:right w:val="nil"/>
            </w:tcBorders>
          </w:tcPr>
          <w:p w14:paraId="2D084466" w14:textId="77777777" w:rsidR="00FB216F" w:rsidRPr="00671F42" w:rsidRDefault="00FB216F" w:rsidP="00FB216F">
            <w:pPr>
              <w:pStyle w:val="ListParagraph"/>
              <w:numPr>
                <w:ilvl w:val="0"/>
                <w:numId w:val="5"/>
              </w:numPr>
            </w:pPr>
            <w:bookmarkStart w:id="17" w:name="_Toc476208631"/>
            <w:bookmarkEnd w:id="17"/>
          </w:p>
        </w:tc>
        <w:tc>
          <w:tcPr>
            <w:tcW w:w="8816" w:type="dxa"/>
            <w:tcBorders>
              <w:top w:val="nil"/>
              <w:left w:val="nil"/>
              <w:bottom w:val="nil"/>
              <w:right w:val="nil"/>
            </w:tcBorders>
          </w:tcPr>
          <w:p w14:paraId="4F9E4979" w14:textId="438FD8D3" w:rsidR="00FB216F" w:rsidRPr="000D655A" w:rsidRDefault="00FB216F" w:rsidP="00FB216F">
            <w:pPr>
              <w:pStyle w:val="Heading1"/>
              <w:rPr>
                <w:lang w:val="en-US"/>
              </w:rPr>
            </w:pPr>
            <w:bookmarkStart w:id="18" w:name="_Toc116910373"/>
            <w:r>
              <w:rPr>
                <w:lang w:val="en-US"/>
              </w:rPr>
              <w:t>EQUALITY, DIVERSITY &amp; INCLUSION</w:t>
            </w:r>
            <w:bookmarkEnd w:id="18"/>
          </w:p>
        </w:tc>
      </w:tr>
      <w:tr w:rsidR="00FB216F" w:rsidRPr="007D0DCD" w14:paraId="204F0263" w14:textId="77777777" w:rsidTr="5787A12A">
        <w:tc>
          <w:tcPr>
            <w:tcW w:w="817" w:type="dxa"/>
            <w:tcBorders>
              <w:top w:val="nil"/>
              <w:left w:val="nil"/>
              <w:bottom w:val="nil"/>
              <w:right w:val="nil"/>
            </w:tcBorders>
          </w:tcPr>
          <w:p w14:paraId="633CF667" w14:textId="77777777" w:rsidR="00FB216F" w:rsidRPr="00EF55CC" w:rsidRDefault="00FB216F" w:rsidP="00FB216F">
            <w:pPr>
              <w:rPr>
                <w:rFonts w:ascii="Calibri" w:eastAsia="Times New Roman" w:hAnsi="Calibri" w:cs="Arial"/>
                <w:szCs w:val="20"/>
                <w:lang w:eastAsia="en-GB"/>
              </w:rPr>
            </w:pPr>
          </w:p>
        </w:tc>
        <w:tc>
          <w:tcPr>
            <w:tcW w:w="8816" w:type="dxa"/>
            <w:tcBorders>
              <w:top w:val="nil"/>
              <w:left w:val="nil"/>
              <w:bottom w:val="nil"/>
              <w:right w:val="nil"/>
            </w:tcBorders>
          </w:tcPr>
          <w:p w14:paraId="34C5B8CB" w14:textId="4DE0E983" w:rsidR="00FB216F" w:rsidRPr="00247C6B" w:rsidRDefault="00FB216F" w:rsidP="00FB216F">
            <w:pPr>
              <w:rPr>
                <w:i/>
                <w:iCs/>
                <w:color w:val="A6A6A6" w:themeColor="background1" w:themeShade="A6"/>
                <w:lang w:val="en-US"/>
              </w:rPr>
            </w:pPr>
            <w:r>
              <w:rPr>
                <w:i/>
                <w:iCs/>
                <w:color w:val="A6A6A6" w:themeColor="background1" w:themeShade="A6"/>
                <w:lang w:val="en-US"/>
              </w:rPr>
              <w:t xml:space="preserve"> </w:t>
            </w:r>
          </w:p>
        </w:tc>
      </w:tr>
      <w:tr w:rsidR="00FB216F" w:rsidRPr="007D0DCD" w14:paraId="044245EE" w14:textId="77777777" w:rsidTr="5787A12A">
        <w:tc>
          <w:tcPr>
            <w:tcW w:w="817" w:type="dxa"/>
            <w:tcBorders>
              <w:top w:val="nil"/>
              <w:left w:val="nil"/>
              <w:bottom w:val="nil"/>
              <w:right w:val="nil"/>
            </w:tcBorders>
          </w:tcPr>
          <w:p w14:paraId="121B641D"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DC5F56" w14:textId="6765288F" w:rsidR="00FB216F" w:rsidRPr="00F407AD" w:rsidRDefault="00FB216F" w:rsidP="00FB216F">
            <w:pPr>
              <w:rPr>
                <w:rFonts w:eastAsia="Times New Roman" w:cs="Arial"/>
                <w:color w:val="000000" w:themeColor="text1"/>
                <w:szCs w:val="20"/>
                <w:lang w:eastAsia="en-GB"/>
              </w:rPr>
            </w:pPr>
            <w:r>
              <w:t>An Equality Impact Assessment has been undertaken in respect of this policy</w:t>
            </w:r>
            <w:r w:rsidR="00D2069F">
              <w:t xml:space="preserve">, </w:t>
            </w:r>
            <w:r>
              <w:t>which identified no negative impacts on any person/group with a protected characteristic as a result of this policy</w:t>
            </w:r>
            <w:r w:rsidR="00031B4D">
              <w:t>.</w:t>
            </w:r>
            <w:r w:rsidR="00B00D73">
              <w:t xml:space="preserve">  This has been reviewed by the Trust’s EDI forum and the Executive Management Team.</w:t>
            </w:r>
          </w:p>
        </w:tc>
      </w:tr>
      <w:tr w:rsidR="00FB216F" w:rsidRPr="007D0DCD" w14:paraId="0B7CB2C7" w14:textId="77777777" w:rsidTr="5787A12A">
        <w:tc>
          <w:tcPr>
            <w:tcW w:w="817" w:type="dxa"/>
            <w:tcBorders>
              <w:top w:val="nil"/>
              <w:left w:val="nil"/>
              <w:bottom w:val="nil"/>
              <w:right w:val="nil"/>
            </w:tcBorders>
          </w:tcPr>
          <w:p w14:paraId="4E9A4548"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F60B141" w14:textId="77777777" w:rsidR="00FB216F" w:rsidRPr="00BA5AF4" w:rsidRDefault="00FB216F" w:rsidP="00FB216F">
            <w:pPr>
              <w:rPr>
                <w:rFonts w:ascii="Calibri" w:eastAsia="Times New Roman" w:hAnsi="Calibri" w:cs="Arial"/>
                <w:szCs w:val="20"/>
                <w:lang w:eastAsia="en-GB"/>
              </w:rPr>
            </w:pPr>
          </w:p>
        </w:tc>
      </w:tr>
      <w:tr w:rsidR="00FB216F" w:rsidRPr="007D0DCD" w14:paraId="53109B6E" w14:textId="77777777" w:rsidTr="5787A12A">
        <w:tc>
          <w:tcPr>
            <w:tcW w:w="817" w:type="dxa"/>
            <w:tcBorders>
              <w:top w:val="nil"/>
              <w:left w:val="nil"/>
              <w:bottom w:val="nil"/>
              <w:right w:val="nil"/>
            </w:tcBorders>
          </w:tcPr>
          <w:p w14:paraId="49E33D8E" w14:textId="77777777" w:rsidR="00FB216F" w:rsidRPr="003C1B99" w:rsidRDefault="00FB216F" w:rsidP="00FB216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DBD5272" w14:textId="2B7E8159" w:rsidR="00FB216F" w:rsidRPr="00BA5AF4" w:rsidRDefault="00FB216F" w:rsidP="00FB216F">
            <w:pPr>
              <w:rPr>
                <w:rFonts w:ascii="Calibri" w:eastAsia="Times New Roman" w:hAnsi="Calibri" w:cs="Arial"/>
                <w:szCs w:val="20"/>
                <w:lang w:eastAsia="en-GB"/>
              </w:rPr>
            </w:pPr>
            <w:r w:rsidRPr="0000707F">
              <w:rPr>
                <w:rFonts w:ascii="Calibri" w:eastAsia="Times New Roman" w:hAnsi="Calibri" w:cs="Arial"/>
                <w:szCs w:val="20"/>
                <w:lang w:eastAsia="en-GB"/>
              </w:rPr>
              <w:t>W</w:t>
            </w:r>
            <w:r w:rsidRPr="0000707F">
              <w:t>e</w:t>
            </w:r>
            <w:r>
              <w:t xml:space="preserve"> are committed to fairness and equality for all regardless of their age, disability, gender reassignment, marriage or civil partnership, pregnancy and maternity, sex, sexual orientation, race, and religion/belief, family circumstances or offending history, as referred to in our relevant Group policies. Our aim is to ensure that our policies and procedures do not create an unlawful unfair disadvantage for anyone, either directly or indirectly.</w:t>
            </w:r>
          </w:p>
        </w:tc>
      </w:tr>
      <w:tr w:rsidR="00FB216F" w:rsidRPr="007D0DCD" w14:paraId="52A4A85E" w14:textId="77777777" w:rsidTr="5787A12A">
        <w:tc>
          <w:tcPr>
            <w:tcW w:w="817" w:type="dxa"/>
            <w:tcBorders>
              <w:top w:val="nil"/>
              <w:left w:val="nil"/>
              <w:bottom w:val="nil"/>
              <w:right w:val="nil"/>
            </w:tcBorders>
          </w:tcPr>
          <w:p w14:paraId="48C6F228" w14:textId="77777777" w:rsidR="00FB216F" w:rsidRPr="003C1B99" w:rsidRDefault="00FB216F" w:rsidP="00FB216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1344D4CE" w14:textId="77777777" w:rsidR="00FB216F" w:rsidRPr="00BA5AF4" w:rsidRDefault="00FB216F" w:rsidP="00FB216F">
            <w:pPr>
              <w:rPr>
                <w:rFonts w:ascii="Calibri" w:eastAsia="Times New Roman" w:hAnsi="Calibri" w:cs="Arial"/>
                <w:szCs w:val="20"/>
                <w:lang w:eastAsia="en-GB"/>
              </w:rPr>
            </w:pPr>
          </w:p>
        </w:tc>
      </w:tr>
      <w:tr w:rsidR="00FB216F" w:rsidRPr="007D0DCD" w14:paraId="6D2C0195" w14:textId="77777777" w:rsidTr="5787A12A">
        <w:tc>
          <w:tcPr>
            <w:tcW w:w="817" w:type="dxa"/>
            <w:tcBorders>
              <w:top w:val="nil"/>
              <w:left w:val="nil"/>
              <w:bottom w:val="nil"/>
              <w:right w:val="nil"/>
            </w:tcBorders>
          </w:tcPr>
          <w:p w14:paraId="0D9507E7" w14:textId="77777777" w:rsidR="00FB216F" w:rsidRPr="00E82464" w:rsidRDefault="00FB216F" w:rsidP="00FB216F">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295CEE3A" w14:textId="77777777" w:rsidR="00FB216F" w:rsidRPr="00E82464" w:rsidRDefault="00FB216F" w:rsidP="00FB216F">
            <w:pPr>
              <w:pStyle w:val="Heading1"/>
              <w:rPr>
                <w:lang w:eastAsia="en-GB"/>
              </w:rPr>
            </w:pPr>
            <w:bookmarkStart w:id="19" w:name="_Toc116910374"/>
            <w:r w:rsidRPr="00E82464">
              <w:t>RESPONSIBILITIES</w:t>
            </w:r>
            <w:bookmarkEnd w:id="19"/>
          </w:p>
        </w:tc>
      </w:tr>
      <w:tr w:rsidR="00FB216F" w:rsidRPr="007D0DCD" w14:paraId="1941F0FE" w14:textId="77777777" w:rsidTr="5787A12A">
        <w:tc>
          <w:tcPr>
            <w:tcW w:w="817" w:type="dxa"/>
            <w:tcBorders>
              <w:top w:val="nil"/>
              <w:left w:val="nil"/>
              <w:bottom w:val="nil"/>
              <w:right w:val="nil"/>
            </w:tcBorders>
          </w:tcPr>
          <w:p w14:paraId="18A98C23" w14:textId="77777777" w:rsidR="00FB216F" w:rsidRPr="00E82464" w:rsidRDefault="00FB216F" w:rsidP="00FB216F">
            <w:pPr>
              <w:rPr>
                <w:rFonts w:eastAsia="Times New Roman" w:cs="Arial"/>
                <w:szCs w:val="20"/>
                <w:lang w:eastAsia="en-GB"/>
              </w:rPr>
            </w:pPr>
          </w:p>
        </w:tc>
        <w:tc>
          <w:tcPr>
            <w:tcW w:w="8816" w:type="dxa"/>
            <w:tcBorders>
              <w:top w:val="nil"/>
              <w:left w:val="nil"/>
              <w:bottom w:val="nil"/>
              <w:right w:val="nil"/>
            </w:tcBorders>
          </w:tcPr>
          <w:p w14:paraId="3B71D695" w14:textId="77777777" w:rsidR="00FB216F" w:rsidRPr="00A064EB" w:rsidRDefault="00FB216F" w:rsidP="00FB216F">
            <w:pPr>
              <w:rPr>
                <w:i/>
                <w:iCs/>
                <w:color w:val="FF0000"/>
                <w:lang w:val="en-US"/>
              </w:rPr>
            </w:pPr>
          </w:p>
        </w:tc>
      </w:tr>
      <w:tr w:rsidR="00FB216F" w:rsidRPr="007D0DCD" w14:paraId="154507C3" w14:textId="77777777" w:rsidTr="5787A12A">
        <w:tc>
          <w:tcPr>
            <w:tcW w:w="817" w:type="dxa"/>
            <w:tcBorders>
              <w:top w:val="nil"/>
              <w:left w:val="nil"/>
              <w:bottom w:val="nil"/>
              <w:right w:val="nil"/>
            </w:tcBorders>
          </w:tcPr>
          <w:p w14:paraId="092CC823"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C6F2E4E" w14:textId="2AB00A1D" w:rsidR="00FB216F" w:rsidRDefault="00FB216F" w:rsidP="00FB216F">
            <w:r>
              <w:t>As part of this decant process,</w:t>
            </w:r>
            <w:r w:rsidR="00805E2B">
              <w:t xml:space="preserve"> tenants </w:t>
            </w:r>
            <w:r>
              <w:t xml:space="preserve">have the responsibility: </w:t>
            </w:r>
          </w:p>
          <w:p w14:paraId="2931EE2E" w14:textId="75781F47" w:rsidR="00FB216F" w:rsidRDefault="00FB216F" w:rsidP="00B00D73">
            <w:pPr>
              <w:pStyle w:val="ListBullet1"/>
              <w:ind w:left="346"/>
            </w:pPr>
            <w:r>
              <w:t>To be bound by the terms and conditions of their original tenancy agreement. A new tenancy agreement will not be issued for their temporary address instead a temporary licence may be issued</w:t>
            </w:r>
          </w:p>
          <w:p w14:paraId="4FD4E9BA" w14:textId="55BC8AD7" w:rsidR="00FB216F" w:rsidRDefault="00B00D73" w:rsidP="00B00D73">
            <w:pPr>
              <w:pStyle w:val="ListBullet1"/>
              <w:ind w:left="346"/>
            </w:pPr>
            <w:r>
              <w:t>T</w:t>
            </w:r>
            <w:r w:rsidR="00FB216F">
              <w:t>o remain responsible for paying the rent/service charge</w:t>
            </w:r>
            <w:r w:rsidR="00031B4D">
              <w:t xml:space="preserve"> of their principal home</w:t>
            </w:r>
          </w:p>
          <w:p w14:paraId="441F9E86" w14:textId="2407CC3A" w:rsidR="00FB216F" w:rsidRDefault="00FB216F" w:rsidP="00B00D73">
            <w:pPr>
              <w:pStyle w:val="ListBullet1"/>
              <w:ind w:left="346"/>
            </w:pPr>
            <w:r>
              <w:t>To inform Trust staff of any conditions and needs that would require consideration when planning their decant</w:t>
            </w:r>
          </w:p>
          <w:p w14:paraId="603ABBA1" w14:textId="6217E2E3" w:rsidR="00FB216F" w:rsidRDefault="00FB216F" w:rsidP="00B00D73">
            <w:pPr>
              <w:pStyle w:val="ListBullet1"/>
              <w:ind w:left="346"/>
            </w:pPr>
            <w:r>
              <w:t>To keep full and legitimate records and proofs of purchase for expenses incurred as part of the decant</w:t>
            </w:r>
          </w:p>
          <w:p w14:paraId="58DBD428" w14:textId="77777777" w:rsidR="00B00D73" w:rsidRDefault="00FB216F" w:rsidP="00B00D73">
            <w:pPr>
              <w:pStyle w:val="ListBullet1"/>
              <w:ind w:left="346"/>
            </w:pPr>
            <w:r>
              <w:t>To inform staff in writing of any changes in circumstances or needs during the decanted perio</w:t>
            </w:r>
            <w:r w:rsidR="00B00D73">
              <w:t>d</w:t>
            </w:r>
            <w:r>
              <w:t xml:space="preserve"> </w:t>
            </w:r>
          </w:p>
          <w:p w14:paraId="0A3F18A6" w14:textId="0DCBA73F" w:rsidR="00FB216F" w:rsidRDefault="00FB216F" w:rsidP="00B00D73">
            <w:pPr>
              <w:pStyle w:val="ListBullet1"/>
              <w:ind w:left="346"/>
            </w:pPr>
            <w:r>
              <w:t>To pack and prepare for the move, or to inform the Trust if they require support in this</w:t>
            </w:r>
          </w:p>
          <w:p w14:paraId="2B8C8C3E" w14:textId="7B7F7EE4" w:rsidR="00FB216F" w:rsidRDefault="00FB216F" w:rsidP="00B00D73">
            <w:pPr>
              <w:pStyle w:val="ListBullet1"/>
              <w:ind w:left="346"/>
            </w:pPr>
            <w:r>
              <w:t>To inform utilities and insurance companies (gas, water, electricity, telephone, home contents insurance, car insurance etc.) of their decant</w:t>
            </w:r>
          </w:p>
          <w:p w14:paraId="42AA110F" w14:textId="168CDC3E" w:rsidR="00FB216F" w:rsidRDefault="00FB216F" w:rsidP="00B00D73">
            <w:pPr>
              <w:pStyle w:val="ListBullet1"/>
              <w:ind w:left="346"/>
            </w:pPr>
            <w:r>
              <w:t>To look after their temporary home whilst they reside in it</w:t>
            </w:r>
          </w:p>
          <w:p w14:paraId="16069313" w14:textId="0E46E237" w:rsidR="00FB216F" w:rsidRPr="00BA5AF4" w:rsidRDefault="00FB216F" w:rsidP="00B00D73">
            <w:pPr>
              <w:pStyle w:val="ListBullet1"/>
              <w:ind w:left="346"/>
              <w:rPr>
                <w:rFonts w:ascii="Calibri" w:eastAsia="Times New Roman" w:hAnsi="Calibri" w:cs="Arial"/>
                <w:szCs w:val="20"/>
                <w:lang w:eastAsia="en-GB"/>
              </w:rPr>
            </w:pPr>
            <w:r>
              <w:t>To be responsible, directly to the supplier, for the payment of the relevant services used at the temporary address</w:t>
            </w:r>
          </w:p>
        </w:tc>
      </w:tr>
      <w:tr w:rsidR="00FB216F" w:rsidRPr="007D0DCD" w14:paraId="3857A4C2" w14:textId="77777777" w:rsidTr="5787A12A">
        <w:tc>
          <w:tcPr>
            <w:tcW w:w="817" w:type="dxa"/>
            <w:tcBorders>
              <w:top w:val="nil"/>
              <w:left w:val="nil"/>
              <w:bottom w:val="nil"/>
              <w:right w:val="nil"/>
            </w:tcBorders>
          </w:tcPr>
          <w:p w14:paraId="59E08E30" w14:textId="77777777" w:rsidR="00FB216F" w:rsidRPr="00E82464" w:rsidRDefault="00FB216F" w:rsidP="00FB216F">
            <w:pPr>
              <w:rPr>
                <w:rFonts w:eastAsia="Times New Roman" w:cs="Arial"/>
                <w:szCs w:val="20"/>
                <w:lang w:eastAsia="en-GB"/>
              </w:rPr>
            </w:pPr>
          </w:p>
        </w:tc>
        <w:tc>
          <w:tcPr>
            <w:tcW w:w="8816" w:type="dxa"/>
            <w:tcBorders>
              <w:top w:val="nil"/>
              <w:left w:val="nil"/>
              <w:bottom w:val="nil"/>
              <w:right w:val="nil"/>
            </w:tcBorders>
          </w:tcPr>
          <w:p w14:paraId="16BBA939" w14:textId="77777777" w:rsidR="00FB216F" w:rsidRPr="00BA5AF4" w:rsidRDefault="00FB216F" w:rsidP="00FB216F">
            <w:pPr>
              <w:rPr>
                <w:rFonts w:ascii="Calibri" w:eastAsia="Times New Roman" w:hAnsi="Calibri" w:cs="Arial"/>
                <w:szCs w:val="20"/>
                <w:lang w:eastAsia="en-GB"/>
              </w:rPr>
            </w:pPr>
          </w:p>
        </w:tc>
      </w:tr>
      <w:tr w:rsidR="00FB216F" w:rsidRPr="007D0DCD" w14:paraId="605FB7C6" w14:textId="77777777" w:rsidTr="5787A12A">
        <w:tc>
          <w:tcPr>
            <w:tcW w:w="817" w:type="dxa"/>
            <w:tcBorders>
              <w:top w:val="nil"/>
              <w:left w:val="nil"/>
              <w:bottom w:val="nil"/>
              <w:right w:val="nil"/>
            </w:tcBorders>
          </w:tcPr>
          <w:p w14:paraId="15587108"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CF50F7A" w14:textId="799D5526" w:rsidR="00FB216F" w:rsidRPr="00BA5AF4" w:rsidRDefault="00FB216F" w:rsidP="00FB216F">
            <w:pPr>
              <w:rPr>
                <w:rFonts w:ascii="Calibri" w:eastAsia="Times New Roman" w:hAnsi="Calibri" w:cs="Arial"/>
                <w:szCs w:val="20"/>
                <w:lang w:eastAsia="en-GB"/>
              </w:rPr>
            </w:pPr>
            <w:r>
              <w:rPr>
                <w:rFonts w:ascii="Calibri" w:eastAsia="Times New Roman" w:hAnsi="Calibri" w:cs="Arial"/>
                <w:szCs w:val="20"/>
                <w:lang w:eastAsia="en-GB"/>
              </w:rPr>
              <w:t>The Executive Management Team are responsible for approving this Policy.</w:t>
            </w:r>
          </w:p>
        </w:tc>
      </w:tr>
      <w:tr w:rsidR="00FB216F" w:rsidRPr="007D0DCD" w14:paraId="34E56B22" w14:textId="77777777" w:rsidTr="5787A12A">
        <w:tc>
          <w:tcPr>
            <w:tcW w:w="817" w:type="dxa"/>
            <w:tcBorders>
              <w:top w:val="nil"/>
              <w:left w:val="nil"/>
              <w:bottom w:val="nil"/>
              <w:right w:val="nil"/>
            </w:tcBorders>
          </w:tcPr>
          <w:p w14:paraId="57ADE365" w14:textId="77777777" w:rsidR="00FB216F" w:rsidRPr="00E82464" w:rsidRDefault="00FB216F" w:rsidP="00FB216F">
            <w:pPr>
              <w:rPr>
                <w:rFonts w:eastAsia="Times New Roman" w:cs="Arial"/>
                <w:szCs w:val="20"/>
                <w:lang w:eastAsia="en-GB"/>
              </w:rPr>
            </w:pPr>
          </w:p>
        </w:tc>
        <w:tc>
          <w:tcPr>
            <w:tcW w:w="8816" w:type="dxa"/>
            <w:tcBorders>
              <w:top w:val="nil"/>
              <w:left w:val="nil"/>
              <w:bottom w:val="nil"/>
              <w:right w:val="nil"/>
            </w:tcBorders>
          </w:tcPr>
          <w:p w14:paraId="44F98EBB" w14:textId="77777777" w:rsidR="00FB216F" w:rsidRPr="00BA5AF4" w:rsidRDefault="00FB216F" w:rsidP="00FB216F">
            <w:pPr>
              <w:rPr>
                <w:rFonts w:ascii="Calibri" w:eastAsia="Times New Roman" w:hAnsi="Calibri" w:cs="Arial"/>
                <w:szCs w:val="20"/>
                <w:lang w:eastAsia="en-GB"/>
              </w:rPr>
            </w:pPr>
          </w:p>
        </w:tc>
      </w:tr>
      <w:tr w:rsidR="00FB216F" w:rsidRPr="007D0DCD" w14:paraId="2888BBAD" w14:textId="77777777" w:rsidTr="5787A12A">
        <w:tc>
          <w:tcPr>
            <w:tcW w:w="817" w:type="dxa"/>
            <w:tcBorders>
              <w:top w:val="nil"/>
              <w:left w:val="nil"/>
              <w:bottom w:val="nil"/>
              <w:right w:val="nil"/>
            </w:tcBorders>
          </w:tcPr>
          <w:p w14:paraId="604BD0F7"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79C76DC" w14:textId="5B7A16E3" w:rsidR="00FB216F" w:rsidRPr="00BA5AF4" w:rsidRDefault="00FB216F" w:rsidP="00FB216F">
            <w:pPr>
              <w:rPr>
                <w:rFonts w:ascii="Calibri" w:eastAsia="Times New Roman" w:hAnsi="Calibri" w:cs="Arial"/>
                <w:szCs w:val="20"/>
                <w:lang w:eastAsia="en-GB"/>
              </w:rPr>
            </w:pPr>
            <w:r w:rsidRPr="00842E7C">
              <w:t>The Head of Neighbourhoods is responsible for ensuring this policy complies with legislative requirements.</w:t>
            </w:r>
          </w:p>
        </w:tc>
      </w:tr>
      <w:tr w:rsidR="00FB216F" w:rsidRPr="007D0DCD" w14:paraId="0050CACF" w14:textId="77777777" w:rsidTr="5787A12A">
        <w:tc>
          <w:tcPr>
            <w:tcW w:w="817" w:type="dxa"/>
            <w:tcBorders>
              <w:top w:val="nil"/>
              <w:left w:val="nil"/>
              <w:bottom w:val="nil"/>
              <w:right w:val="nil"/>
            </w:tcBorders>
          </w:tcPr>
          <w:p w14:paraId="0A6DB809" w14:textId="77777777" w:rsidR="00FB216F" w:rsidRPr="00E82464" w:rsidRDefault="00FB216F" w:rsidP="00FB216F">
            <w:pPr>
              <w:pStyle w:val="ListParagraph"/>
              <w:ind w:left="0"/>
              <w:rPr>
                <w:rFonts w:eastAsia="Times New Roman" w:cs="Arial"/>
                <w:szCs w:val="20"/>
                <w:lang w:eastAsia="en-GB"/>
              </w:rPr>
            </w:pPr>
          </w:p>
        </w:tc>
        <w:tc>
          <w:tcPr>
            <w:tcW w:w="8816" w:type="dxa"/>
            <w:tcBorders>
              <w:top w:val="nil"/>
              <w:left w:val="nil"/>
              <w:bottom w:val="nil"/>
              <w:right w:val="nil"/>
            </w:tcBorders>
          </w:tcPr>
          <w:p w14:paraId="2E39F3F5" w14:textId="77777777" w:rsidR="00FB216F" w:rsidRPr="00BA5AF4" w:rsidRDefault="00FB216F" w:rsidP="00FB216F">
            <w:pPr>
              <w:rPr>
                <w:rFonts w:ascii="Calibri" w:eastAsia="Times New Roman" w:hAnsi="Calibri" w:cs="Arial"/>
                <w:szCs w:val="20"/>
                <w:lang w:eastAsia="en-GB"/>
              </w:rPr>
            </w:pPr>
          </w:p>
        </w:tc>
      </w:tr>
      <w:tr w:rsidR="00FB216F" w:rsidRPr="007D0DCD" w14:paraId="12D45943" w14:textId="77777777" w:rsidTr="5787A12A">
        <w:tc>
          <w:tcPr>
            <w:tcW w:w="817" w:type="dxa"/>
            <w:tcBorders>
              <w:top w:val="nil"/>
              <w:left w:val="nil"/>
              <w:bottom w:val="nil"/>
              <w:right w:val="nil"/>
            </w:tcBorders>
          </w:tcPr>
          <w:p w14:paraId="498BBDEC"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15BBE72" w14:textId="702DF198" w:rsidR="00FB216F" w:rsidRDefault="00FB216F" w:rsidP="00FB216F">
            <w:r>
              <w:t>The Neighbourhood Manager is responsible for ensuring day to day compliance of this policy and procedure.</w:t>
            </w:r>
            <w:r w:rsidR="00031B4D">
              <w:t xml:space="preserve"> The Neighbourhood Team will work with tenants to decant them.</w:t>
            </w:r>
          </w:p>
          <w:p w14:paraId="1101F302" w14:textId="56C09AFE" w:rsidR="0006459D" w:rsidRPr="00BA5AF4" w:rsidRDefault="0006459D" w:rsidP="00FB216F">
            <w:pPr>
              <w:rPr>
                <w:rFonts w:ascii="Calibri" w:eastAsia="Times New Roman" w:hAnsi="Calibri" w:cs="Arial"/>
                <w:szCs w:val="20"/>
                <w:lang w:eastAsia="en-GB"/>
              </w:rPr>
            </w:pPr>
          </w:p>
        </w:tc>
      </w:tr>
      <w:tr w:rsidR="0006459D" w:rsidRPr="007D0DCD" w14:paraId="382BEB62" w14:textId="77777777" w:rsidTr="5787A12A">
        <w:tc>
          <w:tcPr>
            <w:tcW w:w="817" w:type="dxa"/>
            <w:tcBorders>
              <w:top w:val="nil"/>
              <w:left w:val="nil"/>
              <w:bottom w:val="nil"/>
              <w:right w:val="nil"/>
            </w:tcBorders>
          </w:tcPr>
          <w:p w14:paraId="200399C6" w14:textId="77777777" w:rsidR="0006459D" w:rsidRPr="00E82464" w:rsidRDefault="0006459D"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A7265E7" w14:textId="3BE42FD7" w:rsidR="0006459D" w:rsidRDefault="0006459D" w:rsidP="00FB216F">
            <w:r>
              <w:t xml:space="preserve">Temporary moves for repairs will be ‘owned’ by the </w:t>
            </w:r>
            <w:r w:rsidR="00031B4D">
              <w:t>R</w:t>
            </w:r>
            <w:r>
              <w:t xml:space="preserve">epairs </w:t>
            </w:r>
            <w:r w:rsidR="00031B4D">
              <w:t>T</w:t>
            </w:r>
            <w:r>
              <w:t>eam</w:t>
            </w:r>
            <w:r w:rsidR="00031B4D">
              <w:t xml:space="preserve"> or Asset Team (dependent on where the request has originated)</w:t>
            </w:r>
            <w:r>
              <w:t>. They will liaise with the tenant around their timescale for work and ensure updates are completed in a timely fashion.</w:t>
            </w:r>
          </w:p>
          <w:p w14:paraId="452F06FD" w14:textId="2DB48396" w:rsidR="00031B4D" w:rsidRDefault="00031B4D" w:rsidP="00FB216F"/>
        </w:tc>
      </w:tr>
      <w:tr w:rsidR="00FB216F" w:rsidRPr="007D0DCD" w14:paraId="38743948" w14:textId="77777777" w:rsidTr="5787A12A">
        <w:tc>
          <w:tcPr>
            <w:tcW w:w="817" w:type="dxa"/>
            <w:tcBorders>
              <w:top w:val="nil"/>
              <w:left w:val="nil"/>
              <w:bottom w:val="nil"/>
              <w:right w:val="nil"/>
            </w:tcBorders>
          </w:tcPr>
          <w:p w14:paraId="5CE9B2F9"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C83D44D" w14:textId="3BA3D56A" w:rsidR="00FB216F" w:rsidRPr="00BA5AF4" w:rsidRDefault="00FB216F" w:rsidP="00FB216F">
            <w:pPr>
              <w:rPr>
                <w:rFonts w:ascii="Calibri" w:eastAsia="Times New Roman" w:hAnsi="Calibri" w:cs="Arial"/>
                <w:szCs w:val="20"/>
                <w:lang w:eastAsia="en-GB"/>
              </w:rPr>
            </w:pPr>
            <w:r w:rsidRPr="00842E7C">
              <w:t xml:space="preserve">Managers and colleagues who deal with </w:t>
            </w:r>
            <w:r>
              <w:t>decants</w:t>
            </w:r>
            <w:r w:rsidRPr="00842E7C">
              <w:t xml:space="preserve"> are responsible for implementing this policy.</w:t>
            </w:r>
          </w:p>
        </w:tc>
      </w:tr>
      <w:tr w:rsidR="00FB216F" w:rsidRPr="007D0DCD" w14:paraId="0601A0F3" w14:textId="77777777" w:rsidTr="5787A12A">
        <w:tc>
          <w:tcPr>
            <w:tcW w:w="817" w:type="dxa"/>
            <w:tcBorders>
              <w:top w:val="nil"/>
              <w:left w:val="nil"/>
              <w:bottom w:val="nil"/>
              <w:right w:val="nil"/>
            </w:tcBorders>
          </w:tcPr>
          <w:p w14:paraId="08B06888" w14:textId="77777777" w:rsidR="00FB216F" w:rsidRPr="00E82464" w:rsidRDefault="00FB216F" w:rsidP="00FB216F">
            <w:pPr>
              <w:pStyle w:val="ListParagraph"/>
              <w:ind w:left="0"/>
              <w:rPr>
                <w:rFonts w:eastAsia="Times New Roman" w:cs="Arial"/>
                <w:szCs w:val="20"/>
                <w:lang w:eastAsia="en-GB"/>
              </w:rPr>
            </w:pPr>
          </w:p>
        </w:tc>
        <w:tc>
          <w:tcPr>
            <w:tcW w:w="8816" w:type="dxa"/>
            <w:tcBorders>
              <w:top w:val="nil"/>
              <w:left w:val="nil"/>
              <w:bottom w:val="nil"/>
              <w:right w:val="nil"/>
            </w:tcBorders>
          </w:tcPr>
          <w:p w14:paraId="72A6D9E2" w14:textId="77777777" w:rsidR="00FB216F" w:rsidRPr="00BA5AF4" w:rsidRDefault="00FB216F" w:rsidP="00FB216F">
            <w:pPr>
              <w:rPr>
                <w:rFonts w:ascii="Calibri" w:eastAsia="Times New Roman" w:hAnsi="Calibri" w:cs="Arial"/>
                <w:szCs w:val="20"/>
                <w:lang w:eastAsia="en-GB"/>
              </w:rPr>
            </w:pPr>
          </w:p>
        </w:tc>
      </w:tr>
      <w:tr w:rsidR="00FB216F" w:rsidRPr="007D0DCD" w14:paraId="345C3FED" w14:textId="77777777" w:rsidTr="5787A12A">
        <w:trPr>
          <w:trHeight w:hRule="exact" w:val="340"/>
        </w:trPr>
        <w:tc>
          <w:tcPr>
            <w:tcW w:w="817" w:type="dxa"/>
            <w:tcBorders>
              <w:top w:val="nil"/>
              <w:left w:val="nil"/>
              <w:bottom w:val="nil"/>
              <w:right w:val="nil"/>
            </w:tcBorders>
          </w:tcPr>
          <w:p w14:paraId="2E4D5C4F" w14:textId="77777777" w:rsidR="00FB216F" w:rsidRPr="00E82464" w:rsidRDefault="00FB216F" w:rsidP="00FB216F">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68DAFE57" w14:textId="61B1C55D" w:rsidR="00FB216F" w:rsidRPr="00601BEC" w:rsidRDefault="00FB216F" w:rsidP="00FB216F">
            <w:pPr>
              <w:pStyle w:val="Heading1"/>
              <w:rPr>
                <w:rFonts w:eastAsia="Cambria"/>
                <w:szCs w:val="24"/>
                <w:lang w:val="en-US"/>
              </w:rPr>
            </w:pPr>
            <w:bookmarkStart w:id="20" w:name="_Toc116910375"/>
            <w:r w:rsidRPr="006B16FC">
              <w:rPr>
                <w:lang w:val="en-US"/>
              </w:rPr>
              <w:t xml:space="preserve">MONITORING </w:t>
            </w:r>
            <w:r>
              <w:rPr>
                <w:lang w:val="en-US"/>
              </w:rPr>
              <w:t>AND REPORTING</w:t>
            </w:r>
            <w:bookmarkEnd w:id="20"/>
          </w:p>
        </w:tc>
      </w:tr>
      <w:tr w:rsidR="00FB216F" w:rsidRPr="007D0DCD" w14:paraId="470AE2B7" w14:textId="77777777" w:rsidTr="5787A12A">
        <w:tc>
          <w:tcPr>
            <w:tcW w:w="817" w:type="dxa"/>
            <w:tcBorders>
              <w:top w:val="nil"/>
              <w:left w:val="nil"/>
              <w:bottom w:val="nil"/>
              <w:right w:val="nil"/>
            </w:tcBorders>
          </w:tcPr>
          <w:p w14:paraId="4FFB6577" w14:textId="77777777" w:rsidR="00FB216F" w:rsidRPr="00E82464" w:rsidRDefault="00FB216F" w:rsidP="00AD0867">
            <w:pPr>
              <w:pStyle w:val="ListParagraph"/>
              <w:numPr>
                <w:ilvl w:val="1"/>
                <w:numId w:val="5"/>
              </w:numPr>
              <w:spacing w:before="240"/>
              <w:rPr>
                <w:rFonts w:eastAsia="Times New Roman" w:cs="Arial"/>
                <w:szCs w:val="20"/>
                <w:lang w:eastAsia="en-GB"/>
              </w:rPr>
            </w:pPr>
          </w:p>
        </w:tc>
        <w:tc>
          <w:tcPr>
            <w:tcW w:w="8816" w:type="dxa"/>
            <w:tcBorders>
              <w:top w:val="nil"/>
              <w:left w:val="nil"/>
              <w:bottom w:val="nil"/>
              <w:right w:val="nil"/>
            </w:tcBorders>
          </w:tcPr>
          <w:p w14:paraId="7A707379" w14:textId="5FF374AD" w:rsidR="00FB216F" w:rsidRPr="00BA5AF4" w:rsidRDefault="00FB216F" w:rsidP="00AD0867">
            <w:pPr>
              <w:spacing w:before="240"/>
              <w:rPr>
                <w:rFonts w:ascii="Calibri" w:eastAsia="Times New Roman" w:hAnsi="Calibri" w:cs="Arial"/>
                <w:szCs w:val="20"/>
                <w:lang w:eastAsia="en-GB"/>
              </w:rPr>
            </w:pPr>
            <w:r>
              <w:rPr>
                <w:rStyle w:val="normaltextrun"/>
                <w:rFonts w:cs="Calibri"/>
                <w:color w:val="000000"/>
                <w:shd w:val="clear" w:color="auto" w:fill="FFFFFF"/>
              </w:rPr>
              <w:t>Decants that are in place are</w:t>
            </w:r>
            <w:r w:rsidR="00031B4D">
              <w:rPr>
                <w:rStyle w:val="normaltextrun"/>
                <w:rFonts w:cs="Calibri"/>
                <w:color w:val="000000"/>
                <w:shd w:val="clear" w:color="auto" w:fill="FFFFFF"/>
              </w:rPr>
              <w:t xml:space="preserve"> reviewed both individually, and on at least a monthly basis as a whole. </w:t>
            </w:r>
          </w:p>
        </w:tc>
      </w:tr>
      <w:tr w:rsidR="00FB216F" w:rsidRPr="007D0DCD" w14:paraId="5EC52C4D" w14:textId="77777777" w:rsidTr="5787A12A">
        <w:tc>
          <w:tcPr>
            <w:tcW w:w="817" w:type="dxa"/>
            <w:tcBorders>
              <w:top w:val="nil"/>
              <w:left w:val="nil"/>
              <w:bottom w:val="nil"/>
              <w:right w:val="nil"/>
            </w:tcBorders>
          </w:tcPr>
          <w:p w14:paraId="3E8BED66" w14:textId="77777777" w:rsidR="00FB216F" w:rsidRPr="00E82464" w:rsidRDefault="00FB216F" w:rsidP="00FB216F">
            <w:pPr>
              <w:pStyle w:val="ListParagraph"/>
              <w:ind w:left="0"/>
              <w:rPr>
                <w:rFonts w:eastAsia="Times New Roman" w:cs="Arial"/>
                <w:szCs w:val="20"/>
                <w:lang w:eastAsia="en-GB"/>
              </w:rPr>
            </w:pPr>
          </w:p>
        </w:tc>
        <w:tc>
          <w:tcPr>
            <w:tcW w:w="8816" w:type="dxa"/>
            <w:tcBorders>
              <w:top w:val="nil"/>
              <w:left w:val="nil"/>
              <w:bottom w:val="nil"/>
              <w:right w:val="nil"/>
            </w:tcBorders>
          </w:tcPr>
          <w:p w14:paraId="191F3F1E" w14:textId="77777777" w:rsidR="00FB216F" w:rsidRPr="00BA5AF4" w:rsidRDefault="00FB216F" w:rsidP="00FB216F">
            <w:pPr>
              <w:rPr>
                <w:rFonts w:ascii="Calibri" w:eastAsia="Times New Roman" w:hAnsi="Calibri" w:cs="Arial"/>
                <w:szCs w:val="20"/>
                <w:lang w:eastAsia="en-GB"/>
              </w:rPr>
            </w:pPr>
          </w:p>
        </w:tc>
      </w:tr>
      <w:tr w:rsidR="00FB216F" w:rsidRPr="007D0DCD" w14:paraId="46FF3840" w14:textId="77777777" w:rsidTr="5787A12A">
        <w:tc>
          <w:tcPr>
            <w:tcW w:w="817" w:type="dxa"/>
            <w:tcBorders>
              <w:top w:val="nil"/>
              <w:left w:val="nil"/>
              <w:bottom w:val="nil"/>
              <w:right w:val="nil"/>
            </w:tcBorders>
          </w:tcPr>
          <w:p w14:paraId="38118486"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315D0FD" w14:textId="0C12A8B3" w:rsidR="00FB216F" w:rsidRPr="00BA5AF4" w:rsidRDefault="00FB216F" w:rsidP="00FB216F">
            <w:pPr>
              <w:rPr>
                <w:rFonts w:ascii="Calibri" w:eastAsia="Times New Roman" w:hAnsi="Calibri" w:cs="Arial"/>
                <w:szCs w:val="20"/>
                <w:lang w:eastAsia="en-GB"/>
              </w:rPr>
            </w:pPr>
            <w:r>
              <w:rPr>
                <w:rFonts w:ascii="Calibri" w:eastAsia="Times New Roman" w:hAnsi="Calibri" w:cs="Arial"/>
                <w:szCs w:val="20"/>
                <w:lang w:eastAsia="en-GB"/>
              </w:rPr>
              <w:t>Information on decants is included in the annual allocations report</w:t>
            </w:r>
            <w:r w:rsidR="00031B4D">
              <w:rPr>
                <w:rFonts w:ascii="Calibri" w:eastAsia="Times New Roman" w:hAnsi="Calibri" w:cs="Arial"/>
                <w:szCs w:val="20"/>
                <w:lang w:eastAsia="en-GB"/>
              </w:rPr>
              <w:t xml:space="preserve"> to Board</w:t>
            </w:r>
            <w:r>
              <w:rPr>
                <w:rFonts w:ascii="Calibri" w:eastAsia="Times New Roman" w:hAnsi="Calibri" w:cs="Arial"/>
                <w:szCs w:val="20"/>
                <w:lang w:eastAsia="en-GB"/>
              </w:rPr>
              <w:t>.</w:t>
            </w:r>
            <w:r w:rsidR="00805E2B">
              <w:rPr>
                <w:rFonts w:ascii="Calibri" w:eastAsia="Times New Roman" w:hAnsi="Calibri" w:cs="Arial"/>
                <w:szCs w:val="20"/>
                <w:lang w:eastAsia="en-GB"/>
              </w:rPr>
              <w:t xml:space="preserve"> Quarterly reports </w:t>
            </w:r>
            <w:r w:rsidR="00031B4D">
              <w:rPr>
                <w:rFonts w:ascii="Calibri" w:eastAsia="Times New Roman" w:hAnsi="Calibri" w:cs="Arial"/>
                <w:szCs w:val="20"/>
                <w:lang w:eastAsia="en-GB"/>
              </w:rPr>
              <w:t xml:space="preserve">to the Senior Leadership Team </w:t>
            </w:r>
            <w:r w:rsidR="00805E2B">
              <w:rPr>
                <w:rFonts w:ascii="Calibri" w:eastAsia="Times New Roman" w:hAnsi="Calibri" w:cs="Arial"/>
                <w:szCs w:val="20"/>
                <w:lang w:eastAsia="en-GB"/>
              </w:rPr>
              <w:t>on void properties include information on current decants.</w:t>
            </w:r>
          </w:p>
        </w:tc>
      </w:tr>
      <w:tr w:rsidR="00FB216F" w:rsidRPr="007D0DCD" w14:paraId="7B239316" w14:textId="77777777" w:rsidTr="5787A12A">
        <w:tc>
          <w:tcPr>
            <w:tcW w:w="817" w:type="dxa"/>
            <w:tcBorders>
              <w:top w:val="nil"/>
              <w:left w:val="nil"/>
              <w:bottom w:val="nil"/>
              <w:right w:val="nil"/>
            </w:tcBorders>
          </w:tcPr>
          <w:p w14:paraId="7F70E3EE"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28E52E07" w14:textId="77777777" w:rsidR="00FB216F" w:rsidRPr="00BA5AF4" w:rsidRDefault="00FB216F" w:rsidP="00FB216F">
            <w:pPr>
              <w:rPr>
                <w:rFonts w:ascii="Calibri" w:eastAsia="Times New Roman" w:hAnsi="Calibri" w:cs="Arial"/>
                <w:szCs w:val="20"/>
                <w:lang w:eastAsia="en-GB"/>
              </w:rPr>
            </w:pPr>
          </w:p>
        </w:tc>
      </w:tr>
      <w:tr w:rsidR="00FB216F" w:rsidRPr="007D0DCD" w14:paraId="5C32E320" w14:textId="77777777" w:rsidTr="5787A12A">
        <w:tc>
          <w:tcPr>
            <w:tcW w:w="817" w:type="dxa"/>
            <w:tcBorders>
              <w:top w:val="nil"/>
              <w:left w:val="nil"/>
              <w:bottom w:val="nil"/>
              <w:right w:val="nil"/>
            </w:tcBorders>
          </w:tcPr>
          <w:p w14:paraId="16278C9C"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649E716" w14:textId="47E7B2BD" w:rsidR="00FB216F" w:rsidRPr="00BA5AF4" w:rsidRDefault="00FB216F" w:rsidP="00FB216F">
            <w:pPr>
              <w:rPr>
                <w:rFonts w:ascii="Calibri" w:eastAsia="Times New Roman" w:hAnsi="Calibri" w:cs="Arial"/>
                <w:szCs w:val="20"/>
                <w:lang w:eastAsia="en-GB"/>
              </w:rPr>
            </w:pPr>
            <w:r>
              <w:rPr>
                <w:rFonts w:ascii="Calibri" w:eastAsia="Times New Roman" w:hAnsi="Calibri" w:cs="Arial"/>
                <w:szCs w:val="20"/>
                <w:lang w:eastAsia="en-GB"/>
              </w:rPr>
              <w:t xml:space="preserve">Decant requests are completed on a prescribed from by the relevant team and sent to the Neighbourhood team, and records of these forms are kept. In some instances, it may not be appropriate for a form to be completed, for example when out of hours or in an emergency. In these cases alternative records of the reason for the decant will be kept. </w:t>
            </w:r>
          </w:p>
        </w:tc>
      </w:tr>
      <w:tr w:rsidR="00FB216F" w:rsidRPr="007D0DCD" w14:paraId="0BCC2ECD" w14:textId="77777777" w:rsidTr="5787A12A">
        <w:tc>
          <w:tcPr>
            <w:tcW w:w="817" w:type="dxa"/>
            <w:tcBorders>
              <w:top w:val="nil"/>
              <w:left w:val="nil"/>
              <w:bottom w:val="nil"/>
              <w:right w:val="nil"/>
            </w:tcBorders>
          </w:tcPr>
          <w:p w14:paraId="1381B931" w14:textId="77777777" w:rsidR="00FB216F" w:rsidRPr="00E82464" w:rsidRDefault="00FB216F" w:rsidP="00FB216F">
            <w:pPr>
              <w:pStyle w:val="ListParagraph"/>
              <w:ind w:left="0"/>
              <w:rPr>
                <w:rFonts w:eastAsia="Times New Roman" w:cs="Arial"/>
                <w:szCs w:val="20"/>
                <w:lang w:eastAsia="en-GB"/>
              </w:rPr>
            </w:pPr>
          </w:p>
        </w:tc>
        <w:tc>
          <w:tcPr>
            <w:tcW w:w="8816" w:type="dxa"/>
            <w:tcBorders>
              <w:top w:val="nil"/>
              <w:left w:val="nil"/>
              <w:bottom w:val="nil"/>
              <w:right w:val="nil"/>
            </w:tcBorders>
          </w:tcPr>
          <w:p w14:paraId="72AA56AD" w14:textId="77777777" w:rsidR="00FB216F" w:rsidRPr="00BA5AF4" w:rsidRDefault="00FB216F" w:rsidP="00FB216F">
            <w:pPr>
              <w:rPr>
                <w:rFonts w:ascii="Calibri" w:eastAsia="Times New Roman" w:hAnsi="Calibri" w:cs="Arial"/>
                <w:szCs w:val="20"/>
                <w:lang w:eastAsia="en-GB"/>
              </w:rPr>
            </w:pPr>
          </w:p>
        </w:tc>
      </w:tr>
      <w:tr w:rsidR="00FB216F" w:rsidRPr="007D0DCD" w14:paraId="0E2373E6" w14:textId="77777777" w:rsidTr="5787A12A">
        <w:tc>
          <w:tcPr>
            <w:tcW w:w="817" w:type="dxa"/>
            <w:tcBorders>
              <w:top w:val="nil"/>
              <w:left w:val="nil"/>
              <w:bottom w:val="nil"/>
              <w:right w:val="nil"/>
            </w:tcBorders>
          </w:tcPr>
          <w:p w14:paraId="10EFD183" w14:textId="77777777" w:rsidR="00FB216F" w:rsidRPr="00E82464" w:rsidRDefault="00FB216F" w:rsidP="00FB216F">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B4556E5" w14:textId="394E24D1" w:rsidR="00FB216F" w:rsidRPr="00601BEC" w:rsidRDefault="00FB216F" w:rsidP="00FB216F">
            <w:pPr>
              <w:pStyle w:val="Heading1"/>
              <w:rPr>
                <w:rFonts w:cs="Arial"/>
                <w:szCs w:val="20"/>
                <w:lang w:eastAsia="en-GB"/>
              </w:rPr>
            </w:pPr>
            <w:bookmarkStart w:id="21" w:name="_Toc116910376"/>
            <w:r w:rsidRPr="00601BEC">
              <w:rPr>
                <w:lang w:val="en-US"/>
              </w:rPr>
              <w:t>CONSULTATION</w:t>
            </w:r>
            <w:bookmarkEnd w:id="21"/>
          </w:p>
        </w:tc>
      </w:tr>
      <w:tr w:rsidR="00FB216F" w:rsidRPr="007D0DCD" w14:paraId="3C8620D2" w14:textId="77777777" w:rsidTr="5787A12A">
        <w:tc>
          <w:tcPr>
            <w:tcW w:w="817" w:type="dxa"/>
            <w:tcBorders>
              <w:top w:val="nil"/>
              <w:left w:val="nil"/>
              <w:bottom w:val="nil"/>
              <w:right w:val="nil"/>
            </w:tcBorders>
          </w:tcPr>
          <w:p w14:paraId="19BB5D00"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43EB7F79" w14:textId="2142DDD1" w:rsidR="00FB216F" w:rsidRPr="00B06B2A" w:rsidRDefault="00FB216F" w:rsidP="00FB216F">
            <w:pPr>
              <w:rPr>
                <w:b/>
                <w:bCs/>
                <w:i/>
                <w:iCs/>
                <w:color w:val="A6A6A6" w:themeColor="background1" w:themeShade="A6"/>
                <w:lang w:val="en-US"/>
              </w:rPr>
            </w:pPr>
          </w:p>
        </w:tc>
      </w:tr>
      <w:tr w:rsidR="00FB216F" w:rsidRPr="007D0DCD" w14:paraId="4352E24B" w14:textId="77777777" w:rsidTr="5787A12A">
        <w:tc>
          <w:tcPr>
            <w:tcW w:w="817" w:type="dxa"/>
            <w:tcBorders>
              <w:top w:val="nil"/>
              <w:left w:val="nil"/>
              <w:bottom w:val="nil"/>
              <w:right w:val="nil"/>
            </w:tcBorders>
          </w:tcPr>
          <w:p w14:paraId="180BAB10"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2AE49D3" w14:textId="6D69AE0E" w:rsidR="00FB216F" w:rsidRPr="00BA5AF4" w:rsidRDefault="00FB216F" w:rsidP="00FB216F">
            <w:pPr>
              <w:rPr>
                <w:rFonts w:ascii="Calibri" w:eastAsia="Times New Roman" w:hAnsi="Calibri" w:cs="Arial"/>
                <w:szCs w:val="20"/>
                <w:lang w:eastAsia="en-GB"/>
              </w:rPr>
            </w:pPr>
            <w:r w:rsidRPr="0000707F">
              <w:rPr>
                <w:rFonts w:ascii="Calibri" w:eastAsia="Times New Roman" w:hAnsi="Calibri" w:cs="Arial"/>
                <w:szCs w:val="20"/>
                <w:lang w:eastAsia="en-GB"/>
              </w:rPr>
              <w:t>Customers have been consulted on this policy</w:t>
            </w:r>
            <w:r w:rsidR="008D790F">
              <w:rPr>
                <w:rFonts w:ascii="Calibri" w:eastAsia="Times New Roman" w:hAnsi="Calibri" w:cs="Arial"/>
                <w:szCs w:val="20"/>
                <w:lang w:eastAsia="en-GB"/>
              </w:rPr>
              <w:t xml:space="preserve"> through Challenge Group.</w:t>
            </w:r>
          </w:p>
        </w:tc>
      </w:tr>
      <w:tr w:rsidR="00FB216F" w:rsidRPr="007D0DCD" w14:paraId="7AE0E264" w14:textId="77777777" w:rsidTr="5787A12A">
        <w:tc>
          <w:tcPr>
            <w:tcW w:w="817" w:type="dxa"/>
            <w:tcBorders>
              <w:top w:val="nil"/>
              <w:left w:val="nil"/>
              <w:bottom w:val="nil"/>
              <w:right w:val="nil"/>
            </w:tcBorders>
          </w:tcPr>
          <w:p w14:paraId="0C65FAA1"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3F4CA84A" w14:textId="77777777" w:rsidR="00FB216F" w:rsidRPr="00BA5AF4" w:rsidRDefault="00FB216F" w:rsidP="00FB216F">
            <w:pPr>
              <w:rPr>
                <w:rFonts w:ascii="Calibri" w:eastAsia="Times New Roman" w:hAnsi="Calibri" w:cs="Arial"/>
                <w:szCs w:val="20"/>
                <w:lang w:eastAsia="en-GB"/>
              </w:rPr>
            </w:pPr>
          </w:p>
        </w:tc>
      </w:tr>
      <w:tr w:rsidR="00FB216F" w:rsidRPr="007D0DCD" w14:paraId="15FE3228" w14:textId="77777777" w:rsidTr="5787A12A">
        <w:tc>
          <w:tcPr>
            <w:tcW w:w="817" w:type="dxa"/>
            <w:tcBorders>
              <w:top w:val="nil"/>
              <w:left w:val="nil"/>
              <w:bottom w:val="nil"/>
              <w:right w:val="nil"/>
            </w:tcBorders>
          </w:tcPr>
          <w:p w14:paraId="548842CA"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A7718C7" w14:textId="23B508DB" w:rsidR="00FB216F" w:rsidRPr="00BA5AF4" w:rsidRDefault="00FB216F" w:rsidP="00FB216F">
            <w:pPr>
              <w:rPr>
                <w:rFonts w:ascii="Calibri" w:eastAsia="Times New Roman" w:hAnsi="Calibri" w:cs="Arial"/>
                <w:szCs w:val="20"/>
                <w:lang w:eastAsia="en-GB"/>
              </w:rPr>
            </w:pPr>
            <w:r>
              <w:rPr>
                <w:rFonts w:ascii="Calibri" w:eastAsia="Times New Roman" w:hAnsi="Calibri" w:cs="Arial"/>
                <w:szCs w:val="20"/>
                <w:lang w:eastAsia="en-GB"/>
              </w:rPr>
              <w:t xml:space="preserve">All managers have been consulted on this policy. </w:t>
            </w:r>
          </w:p>
        </w:tc>
      </w:tr>
      <w:tr w:rsidR="00FB216F" w:rsidRPr="007D0DCD" w14:paraId="23F87246" w14:textId="77777777" w:rsidTr="5787A12A">
        <w:tc>
          <w:tcPr>
            <w:tcW w:w="817" w:type="dxa"/>
            <w:tcBorders>
              <w:top w:val="nil"/>
              <w:left w:val="nil"/>
              <w:bottom w:val="nil"/>
              <w:right w:val="nil"/>
            </w:tcBorders>
          </w:tcPr>
          <w:p w14:paraId="07AF8BC8"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749219E6" w14:textId="77777777" w:rsidR="00FB216F" w:rsidRPr="00BA5AF4" w:rsidRDefault="00FB216F" w:rsidP="00FB216F">
            <w:pPr>
              <w:rPr>
                <w:rFonts w:ascii="Calibri" w:eastAsia="Times New Roman" w:hAnsi="Calibri" w:cs="Arial"/>
                <w:szCs w:val="20"/>
                <w:lang w:eastAsia="en-GB"/>
              </w:rPr>
            </w:pPr>
          </w:p>
        </w:tc>
      </w:tr>
      <w:tr w:rsidR="00FB216F" w:rsidRPr="007D0DCD" w14:paraId="5791F3CB" w14:textId="77777777" w:rsidTr="5787A12A">
        <w:trPr>
          <w:trHeight w:hRule="exact" w:val="284"/>
        </w:trPr>
        <w:tc>
          <w:tcPr>
            <w:tcW w:w="817" w:type="dxa"/>
            <w:tcBorders>
              <w:top w:val="nil"/>
              <w:left w:val="nil"/>
              <w:bottom w:val="nil"/>
              <w:right w:val="nil"/>
            </w:tcBorders>
          </w:tcPr>
          <w:p w14:paraId="02A79FCB" w14:textId="77777777" w:rsidR="00FB216F" w:rsidRPr="00E82464" w:rsidRDefault="00FB216F" w:rsidP="00FB216F">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3A9E3B8" w14:textId="674B54B0" w:rsidR="00FB216F" w:rsidRPr="00601BEC" w:rsidRDefault="00FB216F" w:rsidP="00FB216F">
            <w:pPr>
              <w:pStyle w:val="Heading1"/>
              <w:rPr>
                <w:rFonts w:eastAsia="Cambria"/>
                <w:szCs w:val="24"/>
                <w:lang w:val="en-US"/>
              </w:rPr>
            </w:pPr>
            <w:bookmarkStart w:id="22" w:name="_Toc116910377"/>
            <w:r w:rsidRPr="00C305C0">
              <w:rPr>
                <w:lang w:val="en-US"/>
              </w:rPr>
              <w:t>REVIEW</w:t>
            </w:r>
            <w:bookmarkEnd w:id="22"/>
            <w:r w:rsidRPr="00C305C0">
              <w:rPr>
                <w:lang w:val="en-US"/>
              </w:rPr>
              <w:t xml:space="preserve">  </w:t>
            </w:r>
          </w:p>
        </w:tc>
      </w:tr>
      <w:tr w:rsidR="00FB216F" w:rsidRPr="007D0DCD" w14:paraId="54F327F0" w14:textId="77777777" w:rsidTr="5787A12A">
        <w:tc>
          <w:tcPr>
            <w:tcW w:w="817" w:type="dxa"/>
            <w:tcBorders>
              <w:top w:val="nil"/>
              <w:left w:val="nil"/>
              <w:bottom w:val="nil"/>
              <w:right w:val="nil"/>
            </w:tcBorders>
          </w:tcPr>
          <w:p w14:paraId="15429D86"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37A1CAF0" w14:textId="228D80B8" w:rsidR="00FB216F" w:rsidRPr="00E905ED" w:rsidRDefault="00FB216F" w:rsidP="00FB216F">
            <w:pPr>
              <w:rPr>
                <w:i/>
                <w:iCs/>
                <w:color w:val="A6A6A6" w:themeColor="background1" w:themeShade="A6"/>
                <w:lang w:val="en-US"/>
              </w:rPr>
            </w:pPr>
          </w:p>
        </w:tc>
      </w:tr>
      <w:tr w:rsidR="00FB216F" w:rsidRPr="007D0DCD" w14:paraId="797154B9" w14:textId="77777777" w:rsidTr="5787A12A">
        <w:tc>
          <w:tcPr>
            <w:tcW w:w="817" w:type="dxa"/>
            <w:tcBorders>
              <w:top w:val="nil"/>
              <w:left w:val="nil"/>
              <w:bottom w:val="nil"/>
              <w:right w:val="nil"/>
            </w:tcBorders>
          </w:tcPr>
          <w:p w14:paraId="0F4FF85C"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9F7908E" w14:textId="60944659" w:rsidR="00FB216F" w:rsidRPr="00BA5AF4" w:rsidRDefault="00FB216F" w:rsidP="00FB216F">
            <w:pPr>
              <w:rPr>
                <w:rFonts w:ascii="Calibri" w:eastAsia="Times New Roman" w:hAnsi="Calibri" w:cs="Arial"/>
                <w:szCs w:val="20"/>
                <w:lang w:eastAsia="en-GB"/>
              </w:rPr>
            </w:pPr>
            <w:r w:rsidRPr="00805E2B">
              <w:t>T</w:t>
            </w:r>
            <w:r>
              <w:t xml:space="preserve">his Policy will be reviewed every three years (from the date it is approved) </w:t>
            </w:r>
            <w:r w:rsidR="007B1365">
              <w:t xml:space="preserve">and approved </w:t>
            </w:r>
            <w:r>
              <w:t>by the Executive Management Team (EMT).</w:t>
            </w:r>
          </w:p>
        </w:tc>
      </w:tr>
      <w:tr w:rsidR="00FB216F" w:rsidRPr="007D0DCD" w14:paraId="3824091C" w14:textId="77777777" w:rsidTr="5787A12A">
        <w:tc>
          <w:tcPr>
            <w:tcW w:w="817" w:type="dxa"/>
            <w:tcBorders>
              <w:top w:val="nil"/>
              <w:left w:val="nil"/>
              <w:bottom w:val="nil"/>
              <w:right w:val="nil"/>
            </w:tcBorders>
          </w:tcPr>
          <w:p w14:paraId="67F81598"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336155C4" w14:textId="77777777" w:rsidR="00FB216F" w:rsidRPr="00BA5AF4" w:rsidRDefault="00FB216F" w:rsidP="00FB216F">
            <w:pPr>
              <w:rPr>
                <w:rFonts w:ascii="Calibri" w:eastAsia="Times New Roman" w:hAnsi="Calibri" w:cs="Arial"/>
                <w:szCs w:val="20"/>
                <w:lang w:eastAsia="en-GB"/>
              </w:rPr>
            </w:pPr>
          </w:p>
        </w:tc>
      </w:tr>
      <w:tr w:rsidR="00FB216F" w:rsidRPr="007D0DCD" w14:paraId="6E1B1455" w14:textId="77777777" w:rsidTr="5787A12A">
        <w:tc>
          <w:tcPr>
            <w:tcW w:w="817" w:type="dxa"/>
            <w:tcBorders>
              <w:top w:val="nil"/>
              <w:left w:val="nil"/>
              <w:bottom w:val="nil"/>
              <w:right w:val="nil"/>
            </w:tcBorders>
          </w:tcPr>
          <w:p w14:paraId="34EC87FE" w14:textId="77777777" w:rsidR="00FB216F" w:rsidRPr="00E82464" w:rsidRDefault="00FB216F" w:rsidP="00FB216F">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129DD48" w14:textId="3BFD6106" w:rsidR="00FB216F" w:rsidRPr="00BA5AF4" w:rsidRDefault="00FB216F" w:rsidP="00FB216F">
            <w:pPr>
              <w:rPr>
                <w:rFonts w:ascii="Calibri" w:eastAsia="Times New Roman" w:hAnsi="Calibri" w:cs="Arial"/>
                <w:szCs w:val="20"/>
                <w:lang w:eastAsia="en-GB"/>
              </w:rPr>
            </w:pPr>
            <w:r>
              <w:t>The Policy may also be reviewed as required by the introduction of new legislation or regulation.</w:t>
            </w:r>
          </w:p>
        </w:tc>
      </w:tr>
      <w:tr w:rsidR="00FB216F" w:rsidRPr="007D0DCD" w14:paraId="138B6EE8" w14:textId="77777777" w:rsidTr="5787A12A">
        <w:tc>
          <w:tcPr>
            <w:tcW w:w="817" w:type="dxa"/>
            <w:tcBorders>
              <w:top w:val="nil"/>
              <w:left w:val="nil"/>
              <w:bottom w:val="nil"/>
              <w:right w:val="nil"/>
            </w:tcBorders>
          </w:tcPr>
          <w:p w14:paraId="1FE7E06A"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1D990CC4" w14:textId="77777777" w:rsidR="00FB216F" w:rsidRPr="00BA5AF4" w:rsidRDefault="00FB216F" w:rsidP="00FB216F">
            <w:pPr>
              <w:rPr>
                <w:rFonts w:ascii="Calibri" w:eastAsia="Times New Roman" w:hAnsi="Calibri" w:cs="Arial"/>
                <w:szCs w:val="20"/>
                <w:lang w:eastAsia="en-GB"/>
              </w:rPr>
            </w:pPr>
          </w:p>
        </w:tc>
      </w:tr>
      <w:tr w:rsidR="00FB216F" w:rsidRPr="007D0DCD" w14:paraId="755EF97B" w14:textId="77777777" w:rsidTr="5787A12A">
        <w:tc>
          <w:tcPr>
            <w:tcW w:w="817" w:type="dxa"/>
            <w:tcBorders>
              <w:top w:val="nil"/>
              <w:left w:val="nil"/>
              <w:bottom w:val="nil"/>
              <w:right w:val="nil"/>
            </w:tcBorders>
          </w:tcPr>
          <w:p w14:paraId="214815CE"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65793123" w14:textId="433D3F69" w:rsidR="00FB216F" w:rsidRPr="000D655A" w:rsidRDefault="00FB216F" w:rsidP="00FB216F">
            <w:pPr>
              <w:pStyle w:val="Heading1"/>
              <w:rPr>
                <w:rFonts w:cs="Arial"/>
                <w:szCs w:val="20"/>
                <w:lang w:eastAsia="en-GB"/>
              </w:rPr>
            </w:pPr>
            <w:bookmarkStart w:id="23" w:name="_Toc116910378"/>
            <w:r w:rsidRPr="000D655A">
              <w:t>ASSOCIATED DOCUMENTS</w:t>
            </w:r>
            <w:bookmarkEnd w:id="23"/>
          </w:p>
        </w:tc>
      </w:tr>
      <w:tr w:rsidR="00FB216F" w:rsidRPr="007D0DCD" w14:paraId="05904695" w14:textId="77777777" w:rsidTr="5787A12A">
        <w:tc>
          <w:tcPr>
            <w:tcW w:w="817" w:type="dxa"/>
            <w:tcBorders>
              <w:top w:val="nil"/>
              <w:left w:val="nil"/>
              <w:bottom w:val="nil"/>
              <w:right w:val="nil"/>
            </w:tcBorders>
          </w:tcPr>
          <w:p w14:paraId="0DB3FD50" w14:textId="77777777" w:rsidR="00FB216F" w:rsidRPr="000D655A" w:rsidRDefault="00FB216F" w:rsidP="00FB216F">
            <w:pPr>
              <w:rPr>
                <w:rFonts w:eastAsia="Times New Roman" w:cs="Arial"/>
                <w:szCs w:val="20"/>
                <w:lang w:eastAsia="en-GB"/>
              </w:rPr>
            </w:pPr>
          </w:p>
        </w:tc>
        <w:tc>
          <w:tcPr>
            <w:tcW w:w="8816" w:type="dxa"/>
            <w:tcBorders>
              <w:top w:val="nil"/>
              <w:left w:val="nil"/>
              <w:bottom w:val="nil"/>
              <w:right w:val="nil"/>
            </w:tcBorders>
          </w:tcPr>
          <w:p w14:paraId="1113D016" w14:textId="77777777" w:rsidR="00FB216F" w:rsidRPr="00CD6F51" w:rsidRDefault="00FB216F" w:rsidP="00FB216F">
            <w:pPr>
              <w:pStyle w:val="ListBullet1"/>
              <w:rPr>
                <w:rFonts w:eastAsia="Times New Roman" w:cs="Arial"/>
                <w:lang w:eastAsia="en-GB"/>
              </w:rPr>
            </w:pPr>
            <w:r>
              <w:t>Local Lettings Policy</w:t>
            </w:r>
          </w:p>
          <w:p w14:paraId="3B987FB1" w14:textId="68C362DE" w:rsidR="00CD6F51" w:rsidRPr="00B0451C" w:rsidRDefault="00CD6F51" w:rsidP="00FB216F">
            <w:pPr>
              <w:pStyle w:val="ListBullet1"/>
              <w:rPr>
                <w:rFonts w:eastAsia="Times New Roman" w:cs="Arial"/>
                <w:lang w:eastAsia="en-GB"/>
              </w:rPr>
            </w:pPr>
            <w:r>
              <w:t>Asset Management Strategy</w:t>
            </w:r>
          </w:p>
          <w:p w14:paraId="40228A60" w14:textId="77777777" w:rsidR="00FB216F" w:rsidRPr="00B0451C" w:rsidRDefault="00FB216F" w:rsidP="00FB216F">
            <w:pPr>
              <w:pStyle w:val="ListBullet1"/>
              <w:rPr>
                <w:rFonts w:eastAsia="Times New Roman" w:cs="Arial"/>
                <w:lang w:eastAsia="en-GB"/>
              </w:rPr>
            </w:pPr>
            <w:r>
              <w:t>Tenancy Policy</w:t>
            </w:r>
          </w:p>
          <w:p w14:paraId="08234910" w14:textId="77777777" w:rsidR="00FB216F" w:rsidRPr="00B0451C" w:rsidRDefault="00FB216F" w:rsidP="00FB216F">
            <w:pPr>
              <w:pStyle w:val="ListBullet1"/>
              <w:rPr>
                <w:rFonts w:eastAsia="Times New Roman" w:cs="Arial"/>
                <w:lang w:eastAsia="en-GB"/>
              </w:rPr>
            </w:pPr>
            <w:r>
              <w:t>Transfer Policy</w:t>
            </w:r>
          </w:p>
          <w:p w14:paraId="4CB6A987" w14:textId="77777777" w:rsidR="00FB216F" w:rsidRPr="00652C26" w:rsidRDefault="00FB216F" w:rsidP="00FB216F">
            <w:pPr>
              <w:pStyle w:val="ListBullet1"/>
              <w:rPr>
                <w:rFonts w:eastAsia="Times New Roman" w:cs="Arial"/>
                <w:lang w:eastAsia="en-GB"/>
              </w:rPr>
            </w:pPr>
            <w:r>
              <w:t>Mutual Exchange, Assignment and Succession Policy</w:t>
            </w:r>
          </w:p>
          <w:p w14:paraId="16927B29" w14:textId="3B67C550" w:rsidR="00FB216F" w:rsidRDefault="00FB216F" w:rsidP="00FB216F">
            <w:pPr>
              <w:pStyle w:val="ListBullet1"/>
              <w:rPr>
                <w:rFonts w:eastAsia="Times New Roman" w:cs="Arial"/>
                <w:lang w:eastAsia="en-GB"/>
              </w:rPr>
            </w:pPr>
            <w:r w:rsidRPr="00652C26">
              <w:rPr>
                <w:rFonts w:eastAsia="Times New Roman" w:cs="Arial"/>
                <w:lang w:eastAsia="en-GB"/>
              </w:rPr>
              <w:t>Allocations P</w:t>
            </w:r>
            <w:r>
              <w:rPr>
                <w:rFonts w:eastAsia="Times New Roman" w:cs="Arial"/>
                <w:lang w:eastAsia="en-GB"/>
              </w:rPr>
              <w:t>olicy</w:t>
            </w:r>
          </w:p>
          <w:p w14:paraId="0C8B8294" w14:textId="77777777" w:rsidR="00FB216F" w:rsidRDefault="00FB216F" w:rsidP="00FB216F">
            <w:pPr>
              <w:pStyle w:val="ListBullet1"/>
              <w:rPr>
                <w:rFonts w:eastAsia="Times New Roman" w:cs="Arial"/>
                <w:lang w:eastAsia="en-GB"/>
              </w:rPr>
            </w:pPr>
            <w:r>
              <w:rPr>
                <w:rFonts w:eastAsia="Times New Roman" w:cs="Arial"/>
                <w:lang w:eastAsia="en-GB"/>
              </w:rPr>
              <w:t>Decant Procedure</w:t>
            </w:r>
          </w:p>
          <w:p w14:paraId="5F1D2175" w14:textId="77777777" w:rsidR="00FB216F" w:rsidRDefault="00FB216F" w:rsidP="00FB216F">
            <w:pPr>
              <w:pStyle w:val="ListBullet1"/>
              <w:rPr>
                <w:rFonts w:eastAsia="Times New Roman" w:cs="Arial"/>
                <w:lang w:eastAsia="en-GB"/>
              </w:rPr>
            </w:pPr>
            <w:r>
              <w:rPr>
                <w:rFonts w:eastAsia="Times New Roman" w:cs="Arial"/>
                <w:lang w:eastAsia="en-GB"/>
              </w:rPr>
              <w:t>Complaints Policy</w:t>
            </w:r>
          </w:p>
          <w:p w14:paraId="2616729D" w14:textId="612B7968" w:rsidR="004F0CB8" w:rsidRDefault="004F0CB8" w:rsidP="00FB216F">
            <w:pPr>
              <w:pStyle w:val="ListBullet1"/>
              <w:rPr>
                <w:rFonts w:eastAsia="Times New Roman" w:cs="Arial"/>
                <w:lang w:eastAsia="en-GB"/>
              </w:rPr>
            </w:pPr>
            <w:r>
              <w:rPr>
                <w:rFonts w:eastAsia="Times New Roman" w:cs="Arial"/>
                <w:lang w:eastAsia="en-GB"/>
              </w:rPr>
              <w:t>Compensation Guidance</w:t>
            </w:r>
          </w:p>
          <w:p w14:paraId="7B998075" w14:textId="77777777" w:rsidR="00FB216F" w:rsidRDefault="00FB216F" w:rsidP="00FB216F">
            <w:pPr>
              <w:pStyle w:val="ListBullet1"/>
              <w:rPr>
                <w:rFonts w:eastAsia="Times New Roman" w:cs="Arial"/>
                <w:lang w:eastAsia="en-GB"/>
              </w:rPr>
            </w:pPr>
            <w:r w:rsidRPr="25B1ECA4">
              <w:rPr>
                <w:rFonts w:eastAsia="Times New Roman" w:cs="Arial"/>
                <w:lang w:eastAsia="en-GB"/>
              </w:rPr>
              <w:t>Reasonable Adjustments Policy</w:t>
            </w:r>
          </w:p>
          <w:p w14:paraId="7774A0D8" w14:textId="57113217" w:rsidR="0063172C" w:rsidRDefault="0063172C" w:rsidP="00FB216F">
            <w:pPr>
              <w:pStyle w:val="ListBullet1"/>
              <w:rPr>
                <w:rFonts w:eastAsia="Times New Roman" w:cs="Arial"/>
                <w:lang w:eastAsia="en-GB"/>
              </w:rPr>
            </w:pPr>
            <w:r>
              <w:rPr>
                <w:rFonts w:eastAsia="Times New Roman" w:cs="Arial"/>
                <w:lang w:eastAsia="en-GB"/>
              </w:rPr>
              <w:t>Rent Setting Policy</w:t>
            </w:r>
          </w:p>
          <w:p w14:paraId="4D09A1C8" w14:textId="5501D6C0" w:rsidR="00FB216F" w:rsidRPr="00AD0867" w:rsidRDefault="00FB216F" w:rsidP="00FB216F">
            <w:pPr>
              <w:pStyle w:val="ListBullet1"/>
              <w:rPr>
                <w:rFonts w:eastAsia="Times New Roman" w:cs="Arial"/>
                <w:lang w:eastAsia="en-GB"/>
              </w:rPr>
            </w:pPr>
            <w:r w:rsidRPr="25B1ECA4">
              <w:rPr>
                <w:rFonts w:eastAsia="Times New Roman" w:cs="Arial"/>
                <w:lang w:eastAsia="en-GB"/>
              </w:rPr>
              <w:t>Vulnerable Customers Policy</w:t>
            </w:r>
          </w:p>
        </w:tc>
      </w:tr>
    </w:tbl>
    <w:p w14:paraId="7410CBB9" w14:textId="77777777" w:rsidR="0093600A" w:rsidRDefault="0093600A">
      <w:bookmarkStart w:id="24" w:name="_Toc476208633"/>
      <w:bookmarkEnd w:id="24"/>
      <w:bookmarkEnd w:id="2"/>
    </w:p>
    <w:p w14:paraId="436469E0" w14:textId="77777777" w:rsidR="00532B4E" w:rsidRPr="002A1DD3" w:rsidRDefault="00532B4E" w:rsidP="003C1B99">
      <w:pPr>
        <w:pStyle w:val="Heading1"/>
      </w:pPr>
      <w:bookmarkStart w:id="25" w:name="_Toc116910379"/>
      <w:r w:rsidRPr="002A1DD3">
        <w:t>POLICY INFORMATION</w:t>
      </w:r>
      <w:bookmarkEnd w:id="3"/>
      <w:bookmarkEnd w:id="4"/>
      <w:bookmarkEnd w:id="25"/>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C154F3" w:rsidRPr="007D0DCD" w14:paraId="07DEE35D" w14:textId="77777777" w:rsidTr="00C22E15">
        <w:trPr>
          <w:trHeight w:hRule="exact" w:val="20"/>
        </w:trPr>
        <w:tc>
          <w:tcPr>
            <w:tcW w:w="2932" w:type="dxa"/>
            <w:tcBorders>
              <w:top w:val="nil"/>
              <w:left w:val="nil"/>
              <w:bottom w:val="nil"/>
              <w:right w:val="nil"/>
            </w:tcBorders>
          </w:tcPr>
          <w:p w14:paraId="51429250" w14:textId="77777777" w:rsidR="00C154F3" w:rsidRDefault="00C154F3">
            <w:pPr>
              <w:rPr>
                <w:sz w:val="2"/>
              </w:rPr>
            </w:pPr>
            <w:bookmarkStart w:id="26" w:name="_9d95ff1e_6076_41cb_aa17_f9f6b07e2787"/>
            <w:bookmarkStart w:id="27" w:name="_928e6f49_1d5c_4016_b714_3366c829e78d"/>
            <w:bookmarkEnd w:id="26"/>
          </w:p>
        </w:tc>
        <w:tc>
          <w:tcPr>
            <w:tcW w:w="5276" w:type="dxa"/>
            <w:tcBorders>
              <w:top w:val="nil"/>
              <w:left w:val="nil"/>
              <w:bottom w:val="nil"/>
              <w:right w:val="nil"/>
            </w:tcBorders>
          </w:tcPr>
          <w:p w14:paraId="01F3FA88" w14:textId="77777777" w:rsidR="00C154F3" w:rsidRDefault="00C154F3">
            <w:pPr>
              <w:rPr>
                <w:sz w:val="2"/>
              </w:rPr>
            </w:pPr>
          </w:p>
        </w:tc>
      </w:tr>
      <w:tr w:rsidR="00C154F3" w:rsidRPr="007D0DCD" w14:paraId="6E9DB0CB" w14:textId="77777777" w:rsidTr="00C22E15">
        <w:tc>
          <w:tcPr>
            <w:tcW w:w="2932" w:type="dxa"/>
            <w:tcBorders>
              <w:top w:val="single" w:sz="12" w:space="0" w:color="auto"/>
              <w:left w:val="single" w:sz="12" w:space="0" w:color="auto"/>
              <w:bottom w:val="single" w:sz="6" w:space="0" w:color="auto"/>
              <w:right w:val="single" w:sz="6" w:space="0" w:color="auto"/>
            </w:tcBorders>
          </w:tcPr>
          <w:p w14:paraId="0CC523DC" w14:textId="77777777" w:rsidR="00C154F3" w:rsidRPr="007D0DCD" w:rsidRDefault="00C154F3" w:rsidP="00C22E15">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01FD5475" w14:textId="34AD11C2" w:rsidR="00C154F3" w:rsidRPr="00AD0867" w:rsidRDefault="00C154F3" w:rsidP="00C22E15">
            <w:pPr>
              <w:spacing w:before="120" w:after="120"/>
              <w:rPr>
                <w:rFonts w:ascii="Calibri" w:eastAsia="Times New Roman" w:hAnsi="Calibri" w:cs="Arial"/>
                <w:color w:val="4F6228" w:themeColor="accent3" w:themeShade="80"/>
                <w:lang w:eastAsia="en-GB"/>
              </w:rPr>
            </w:pPr>
            <w:r w:rsidRPr="00AD0867">
              <w:rPr>
                <w:rFonts w:ascii="Calibri" w:eastAsia="Times New Roman" w:hAnsi="Calibri" w:cs="Arial"/>
                <w:color w:val="4F6228" w:themeColor="accent3" w:themeShade="80"/>
                <w:lang w:eastAsia="en-GB"/>
              </w:rPr>
              <w:t>Decant Policy</w:t>
            </w:r>
          </w:p>
        </w:tc>
      </w:tr>
      <w:tr w:rsidR="00C154F3" w:rsidRPr="007D0DCD" w14:paraId="144C5CA3" w14:textId="77777777" w:rsidTr="00C22E15">
        <w:tc>
          <w:tcPr>
            <w:tcW w:w="2932" w:type="dxa"/>
            <w:tcBorders>
              <w:top w:val="single" w:sz="6" w:space="0" w:color="auto"/>
              <w:left w:val="single" w:sz="12" w:space="0" w:color="auto"/>
              <w:bottom w:val="single" w:sz="6" w:space="0" w:color="auto"/>
              <w:right w:val="single" w:sz="6" w:space="0" w:color="auto"/>
            </w:tcBorders>
          </w:tcPr>
          <w:p w14:paraId="32946010" w14:textId="77777777" w:rsidR="00C154F3" w:rsidRPr="007D0DCD" w:rsidRDefault="00C154F3" w:rsidP="00C22E15">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01361EE8" w14:textId="49A81018" w:rsidR="00C154F3" w:rsidRPr="00AD0867" w:rsidRDefault="00C154F3" w:rsidP="00C22E15">
            <w:pPr>
              <w:spacing w:before="120" w:after="120"/>
              <w:rPr>
                <w:rFonts w:ascii="Calibri" w:eastAsia="Times New Roman" w:hAnsi="Calibri" w:cs="Arial"/>
                <w:color w:val="4F6228" w:themeColor="accent3" w:themeShade="80"/>
                <w:lang w:eastAsia="en-GB"/>
              </w:rPr>
            </w:pPr>
            <w:r w:rsidRPr="00AD0867">
              <w:rPr>
                <w:rFonts w:ascii="Calibri" w:eastAsia="Times New Roman" w:hAnsi="Calibri" w:cs="Arial"/>
                <w:color w:val="4F6228" w:themeColor="accent3" w:themeShade="80"/>
                <w:lang w:eastAsia="en-GB"/>
              </w:rPr>
              <w:t>Final</w:t>
            </w:r>
            <w:r w:rsidR="00AD0867" w:rsidRPr="00AD0867">
              <w:rPr>
                <w:rFonts w:ascii="Calibri" w:eastAsia="Times New Roman" w:hAnsi="Calibri" w:cs="Arial"/>
                <w:color w:val="4F6228" w:themeColor="accent3" w:themeShade="80"/>
                <w:lang w:eastAsia="en-GB"/>
              </w:rPr>
              <w:t>/Approved</w:t>
            </w:r>
          </w:p>
        </w:tc>
      </w:tr>
      <w:tr w:rsidR="00C154F3" w:rsidRPr="007D0DCD" w14:paraId="14112976" w14:textId="77777777" w:rsidTr="00C22E15">
        <w:tc>
          <w:tcPr>
            <w:tcW w:w="2932" w:type="dxa"/>
            <w:tcBorders>
              <w:top w:val="single" w:sz="6" w:space="0" w:color="auto"/>
              <w:left w:val="single" w:sz="12" w:space="0" w:color="auto"/>
              <w:bottom w:val="single" w:sz="6" w:space="0" w:color="auto"/>
              <w:right w:val="single" w:sz="6" w:space="0" w:color="auto"/>
            </w:tcBorders>
          </w:tcPr>
          <w:p w14:paraId="508A8F17" w14:textId="77777777" w:rsidR="00C154F3" w:rsidRPr="007D0DCD" w:rsidRDefault="00C154F3" w:rsidP="00C22E15">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6EA03B55" w14:textId="6BA46C68" w:rsidR="00C154F3" w:rsidRPr="00AD0867" w:rsidRDefault="00AD0867" w:rsidP="00C22E15">
            <w:pPr>
              <w:spacing w:before="120" w:after="120"/>
              <w:jc w:val="left"/>
              <w:rPr>
                <w:rFonts w:ascii="Calibri" w:eastAsia="Times New Roman" w:hAnsi="Calibri" w:cs="Arial"/>
                <w:color w:val="4F6228" w:themeColor="accent3" w:themeShade="80"/>
                <w:lang w:eastAsia="en-GB"/>
              </w:rPr>
            </w:pPr>
            <w:r w:rsidRPr="00AD0867">
              <w:rPr>
                <w:rFonts w:ascii="Calibri" w:eastAsia="Times New Roman" w:hAnsi="Calibri" w:cs="Arial"/>
                <w:color w:val="4F6228" w:themeColor="accent3" w:themeShade="80"/>
                <w:lang w:eastAsia="en-GB"/>
              </w:rPr>
              <w:t>Executive Management Team</w:t>
            </w:r>
          </w:p>
        </w:tc>
      </w:tr>
      <w:tr w:rsidR="00C154F3" w:rsidRPr="007D0DCD" w14:paraId="02D38911" w14:textId="77777777" w:rsidTr="00C22E15">
        <w:tc>
          <w:tcPr>
            <w:tcW w:w="2932" w:type="dxa"/>
            <w:tcBorders>
              <w:top w:val="single" w:sz="6" w:space="0" w:color="auto"/>
              <w:left w:val="single" w:sz="12" w:space="0" w:color="auto"/>
              <w:bottom w:val="single" w:sz="6" w:space="0" w:color="auto"/>
              <w:right w:val="single" w:sz="6" w:space="0" w:color="auto"/>
            </w:tcBorders>
          </w:tcPr>
          <w:p w14:paraId="717057D3" w14:textId="77777777" w:rsidR="00C154F3" w:rsidRPr="007D0DCD" w:rsidRDefault="00C154F3" w:rsidP="00C22E15">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7DE6302F" w14:textId="71E66DDD" w:rsidR="00C154F3" w:rsidRPr="007D0DCD" w:rsidRDefault="00C154F3" w:rsidP="00C22E15">
            <w:pPr>
              <w:spacing w:before="120" w:after="120"/>
              <w:rPr>
                <w:rFonts w:ascii="Calibri" w:eastAsia="Times New Roman" w:hAnsi="Calibri" w:cs="Arial"/>
                <w:lang w:eastAsia="en-GB"/>
              </w:rPr>
            </w:pPr>
            <w:r w:rsidRPr="00AD0867">
              <w:rPr>
                <w:rFonts w:ascii="Calibri" w:eastAsia="Times New Roman" w:hAnsi="Calibri" w:cs="Arial"/>
                <w:color w:val="4F6228" w:themeColor="accent3" w:themeShade="80"/>
                <w:lang w:eastAsia="en-GB"/>
              </w:rPr>
              <w:t xml:space="preserve">Steffanie </w:t>
            </w:r>
            <w:proofErr w:type="spellStart"/>
            <w:r w:rsidRPr="00AD0867">
              <w:rPr>
                <w:rFonts w:ascii="Calibri" w:eastAsia="Times New Roman" w:hAnsi="Calibri" w:cs="Arial"/>
                <w:color w:val="4F6228" w:themeColor="accent3" w:themeShade="80"/>
                <w:lang w:eastAsia="en-GB"/>
              </w:rPr>
              <w:t>Goalen</w:t>
            </w:r>
            <w:proofErr w:type="spellEnd"/>
            <w:r w:rsidRPr="00AD0867">
              <w:rPr>
                <w:rFonts w:ascii="Calibri" w:eastAsia="Times New Roman" w:hAnsi="Calibri" w:cs="Arial"/>
                <w:color w:val="4F6228" w:themeColor="accent3" w:themeShade="80"/>
                <w:lang w:eastAsia="en-GB"/>
              </w:rPr>
              <w:t>, Head of Neighbourhoods</w:t>
            </w:r>
          </w:p>
        </w:tc>
      </w:tr>
      <w:tr w:rsidR="00C154F3" w:rsidRPr="007D0DCD" w14:paraId="5943422E" w14:textId="77777777" w:rsidTr="00C22E15">
        <w:tc>
          <w:tcPr>
            <w:tcW w:w="2932" w:type="dxa"/>
            <w:tcBorders>
              <w:top w:val="single" w:sz="6" w:space="0" w:color="auto"/>
              <w:left w:val="single" w:sz="12" w:space="0" w:color="auto"/>
              <w:bottom w:val="single" w:sz="6" w:space="0" w:color="auto"/>
              <w:right w:val="single" w:sz="6" w:space="0" w:color="auto"/>
            </w:tcBorders>
          </w:tcPr>
          <w:p w14:paraId="083E0CBF" w14:textId="77777777" w:rsidR="00C154F3" w:rsidRPr="007D0DCD" w:rsidRDefault="00C154F3" w:rsidP="00C22E15">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4F7BBE60" w14:textId="16BA72F5" w:rsidR="00C154F3" w:rsidRPr="00AD0867" w:rsidRDefault="00AD0867" w:rsidP="00C22E15">
            <w:pPr>
              <w:spacing w:before="120" w:after="120"/>
              <w:rPr>
                <w:rFonts w:ascii="Calibri" w:eastAsia="Times New Roman" w:hAnsi="Calibri" w:cs="Arial"/>
                <w:color w:val="4F6228" w:themeColor="accent3" w:themeShade="80"/>
                <w:lang w:eastAsia="en-GB"/>
              </w:rPr>
            </w:pPr>
            <w:r w:rsidRPr="00AD0867">
              <w:rPr>
                <w:rFonts w:ascii="Calibri" w:eastAsia="Times New Roman" w:hAnsi="Calibri" w:cs="Arial"/>
                <w:color w:val="4F6228" w:themeColor="accent3" w:themeShade="80"/>
                <w:lang w:eastAsia="en-GB"/>
              </w:rPr>
              <w:t>22</w:t>
            </w:r>
            <w:r w:rsidRPr="00AD0867">
              <w:rPr>
                <w:rFonts w:ascii="Calibri" w:eastAsia="Times New Roman" w:hAnsi="Calibri" w:cs="Arial"/>
                <w:color w:val="4F6228" w:themeColor="accent3" w:themeShade="80"/>
                <w:vertAlign w:val="superscript"/>
                <w:lang w:eastAsia="en-GB"/>
              </w:rPr>
              <w:t>nd</w:t>
            </w:r>
            <w:r w:rsidRPr="00AD0867">
              <w:rPr>
                <w:rFonts w:ascii="Calibri" w:eastAsia="Times New Roman" w:hAnsi="Calibri" w:cs="Arial"/>
                <w:color w:val="4F6228" w:themeColor="accent3" w:themeShade="80"/>
                <w:lang w:eastAsia="en-GB"/>
              </w:rPr>
              <w:t xml:space="preserve"> August 2024</w:t>
            </w:r>
          </w:p>
        </w:tc>
      </w:tr>
      <w:tr w:rsidR="00C154F3" w:rsidRPr="007D0DCD" w14:paraId="20975E06" w14:textId="77777777" w:rsidTr="00C22E15">
        <w:tc>
          <w:tcPr>
            <w:tcW w:w="2932" w:type="dxa"/>
            <w:tcBorders>
              <w:top w:val="single" w:sz="6" w:space="0" w:color="auto"/>
              <w:left w:val="single" w:sz="12" w:space="0" w:color="auto"/>
              <w:bottom w:val="single" w:sz="6" w:space="0" w:color="auto"/>
              <w:right w:val="single" w:sz="6" w:space="0" w:color="auto"/>
            </w:tcBorders>
          </w:tcPr>
          <w:p w14:paraId="044EBD0D" w14:textId="77777777" w:rsidR="00C154F3" w:rsidRPr="007D0DCD" w:rsidRDefault="00C154F3" w:rsidP="00C22E15">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5BB74322" w14:textId="27EB22A0" w:rsidR="00C154F3" w:rsidRPr="00AD0867" w:rsidRDefault="00C154F3" w:rsidP="00C22E15">
            <w:pPr>
              <w:spacing w:before="120" w:after="120"/>
              <w:rPr>
                <w:rFonts w:ascii="Calibri" w:eastAsia="Times New Roman" w:hAnsi="Calibri" w:cs="Arial"/>
                <w:color w:val="4F6228" w:themeColor="accent3" w:themeShade="80"/>
                <w:lang w:eastAsia="en-GB"/>
              </w:rPr>
            </w:pPr>
            <w:r w:rsidRPr="00AD0867">
              <w:rPr>
                <w:rFonts w:ascii="Calibri" w:eastAsia="Times New Roman" w:hAnsi="Calibri" w:cs="Arial"/>
                <w:color w:val="4F6228" w:themeColor="accent3" w:themeShade="80"/>
                <w:lang w:eastAsia="en-GB"/>
              </w:rPr>
              <w:t>August 2027</w:t>
            </w:r>
          </w:p>
        </w:tc>
      </w:tr>
      <w:bookmarkEnd w:id="27"/>
    </w:tbl>
    <w:p w14:paraId="69FECA85" w14:textId="77777777" w:rsidR="00C154F3" w:rsidRDefault="00C154F3"/>
    <w:p w14:paraId="74D7DE13" w14:textId="77777777" w:rsidR="001F4C11" w:rsidRDefault="001F4C11" w:rsidP="001F4C11"/>
    <w:p w14:paraId="186F77D7" w14:textId="77777777" w:rsidR="001F4C11" w:rsidRPr="001F4C11" w:rsidRDefault="001F4C11" w:rsidP="001F4C11"/>
    <w:sectPr w:rsidR="001F4C11" w:rsidRPr="001F4C11" w:rsidSect="003B2DFD">
      <w:footerReference w:type="default" r:id="rId19"/>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230E" w14:textId="77777777" w:rsidR="00D47447" w:rsidRDefault="00D47447" w:rsidP="009A40E5">
      <w:r>
        <w:separator/>
      </w:r>
    </w:p>
  </w:endnote>
  <w:endnote w:type="continuationSeparator" w:id="0">
    <w:p w14:paraId="31FA5842" w14:textId="77777777" w:rsidR="00D47447" w:rsidRDefault="00D47447" w:rsidP="009A40E5">
      <w:r>
        <w:continuationSeparator/>
      </w:r>
    </w:p>
  </w:endnote>
  <w:endnote w:type="continuationNotice" w:id="1">
    <w:p w14:paraId="08074701" w14:textId="77777777" w:rsidR="00D47447" w:rsidRDefault="00D4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C400"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E603" w14:textId="77777777" w:rsidR="000B34DB" w:rsidRPr="007D0DCD" w:rsidRDefault="000B34DB" w:rsidP="000F4E87">
    <w:pPr>
      <w:pStyle w:val="Footer"/>
      <w:rPr>
        <w:rFonts w:cs="Arial"/>
      </w:rPr>
    </w:pPr>
    <w:r>
      <w:rPr>
        <w:noProof/>
        <w:lang w:eastAsia="en-GB"/>
      </w:rPr>
      <w:drawing>
        <wp:anchor distT="0" distB="0" distL="114300" distR="114300" simplePos="0" relativeHeight="251658241" behindDoc="0" locked="0" layoutInCell="1" allowOverlap="1" wp14:anchorId="4E125BF1" wp14:editId="315E075D">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2064"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C5F7" w14:textId="77777777" w:rsidR="000B34DB" w:rsidRPr="00E3112F" w:rsidRDefault="000B34DB" w:rsidP="000F4E87">
    <w:pPr>
      <w:pStyle w:val="Footer"/>
      <w:rPr>
        <w:rFonts w:cs="Arial"/>
        <w:sz w:val="28"/>
      </w:rPr>
    </w:pPr>
    <w:r w:rsidRPr="00E3112F">
      <w:rPr>
        <w:noProof/>
        <w:sz w:val="28"/>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sz w:val="18"/>
        <w:szCs w:val="16"/>
      </w:rPr>
      <w:fldChar w:fldCharType="begin"/>
    </w:r>
    <w:r w:rsidRPr="00E3112F">
      <w:rPr>
        <w:rFonts w:cs="Arial"/>
        <w:sz w:val="18"/>
        <w:szCs w:val="16"/>
      </w:rPr>
      <w:instrText xml:space="preserve"> PAGE </w:instrText>
    </w:r>
    <w:r w:rsidRPr="00E3112F">
      <w:rPr>
        <w:rFonts w:cs="Arial"/>
        <w:sz w:val="18"/>
        <w:szCs w:val="16"/>
      </w:rPr>
      <w:fldChar w:fldCharType="separate"/>
    </w:r>
    <w:r w:rsidR="00DD6A8A">
      <w:rPr>
        <w:rFonts w:cs="Arial"/>
        <w:noProof/>
        <w:sz w:val="18"/>
        <w:szCs w:val="16"/>
      </w:rPr>
      <w:t>1</w:t>
    </w:r>
    <w:r w:rsidRPr="00E3112F">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2A2D" w14:textId="77777777" w:rsidR="00D47447" w:rsidRDefault="00D47447" w:rsidP="009A40E5">
      <w:r>
        <w:separator/>
      </w:r>
    </w:p>
  </w:footnote>
  <w:footnote w:type="continuationSeparator" w:id="0">
    <w:p w14:paraId="30A4A919" w14:textId="77777777" w:rsidR="00D47447" w:rsidRDefault="00D47447" w:rsidP="009A40E5">
      <w:r>
        <w:continuationSeparator/>
      </w:r>
    </w:p>
  </w:footnote>
  <w:footnote w:type="continuationNotice" w:id="1">
    <w:p w14:paraId="40D20D07" w14:textId="77777777" w:rsidR="00D47447" w:rsidRDefault="00D47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6865" w14:textId="77777777" w:rsidR="000B34DB" w:rsidRDefault="000B34DB">
    <w:pPr>
      <w:pStyle w:val="Header"/>
    </w:pPr>
  </w:p>
  <w:p w14:paraId="2715DA1D"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642A"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A3BC"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C2F"/>
    <w:multiLevelType w:val="hybridMultilevel"/>
    <w:tmpl w:val="20D4C382"/>
    <w:lvl w:ilvl="0" w:tplc="A86482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92903"/>
    <w:multiLevelType w:val="hybridMultilevel"/>
    <w:tmpl w:val="CE4CD214"/>
    <w:lvl w:ilvl="0" w:tplc="08A85C64">
      <w:start w:val="1"/>
      <w:numFmt w:val="decimal"/>
      <w:pStyle w:val="TOC1"/>
      <w:lvlText w:val="%1."/>
      <w:lvlJc w:val="left"/>
      <w:pPr>
        <w:ind w:left="720" w:hanging="360"/>
      </w:pPr>
      <w:rPr>
        <w:b/>
        <w:sz w:val="24"/>
      </w:rPr>
    </w:lvl>
    <w:lvl w:ilvl="1" w:tplc="D9FAF18E">
      <w:start w:val="1"/>
      <w:numFmt w:val="lowerRoman"/>
      <w:lvlText w:val="(%2)"/>
      <w:lvlJc w:val="left"/>
      <w:pPr>
        <w:ind w:left="1800" w:hanging="720"/>
      </w:pPr>
      <w:rPr>
        <w:rFonts w:hint="default"/>
      </w:rPr>
    </w:lvl>
    <w:lvl w:ilvl="2" w:tplc="F7286578">
      <w:numFmt w:val="bullet"/>
      <w:lvlText w:val="•"/>
      <w:lvlJc w:val="left"/>
      <w:pPr>
        <w:ind w:left="2340" w:hanging="360"/>
      </w:pPr>
      <w:rPr>
        <w:rFonts w:ascii="Calibri" w:eastAsia="Cambria"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963C5"/>
    <w:multiLevelType w:val="hybridMultilevel"/>
    <w:tmpl w:val="A86E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D7673"/>
    <w:multiLevelType w:val="hybridMultilevel"/>
    <w:tmpl w:val="B906A0FE"/>
    <w:lvl w:ilvl="0" w:tplc="AC82627A">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1230B"/>
    <w:multiLevelType w:val="hybridMultilevel"/>
    <w:tmpl w:val="1F86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C72DD"/>
    <w:multiLevelType w:val="hybridMultilevel"/>
    <w:tmpl w:val="A2FC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D1AA8"/>
    <w:multiLevelType w:val="hybridMultilevel"/>
    <w:tmpl w:val="8BBA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E254B0"/>
    <w:multiLevelType w:val="hybridMultilevel"/>
    <w:tmpl w:val="701A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C44D4"/>
    <w:multiLevelType w:val="hybridMultilevel"/>
    <w:tmpl w:val="517A0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0154C"/>
    <w:multiLevelType w:val="hybridMultilevel"/>
    <w:tmpl w:val="7954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7B62442E"/>
    <w:multiLevelType w:val="hybridMultilevel"/>
    <w:tmpl w:val="B1D6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593188">
    <w:abstractNumId w:val="2"/>
  </w:num>
  <w:num w:numId="2" w16cid:durableId="337271752">
    <w:abstractNumId w:val="7"/>
  </w:num>
  <w:num w:numId="3" w16cid:durableId="761604562">
    <w:abstractNumId w:val="23"/>
  </w:num>
  <w:num w:numId="4" w16cid:durableId="1609040054">
    <w:abstractNumId w:val="19"/>
  </w:num>
  <w:num w:numId="5" w16cid:durableId="477308063">
    <w:abstractNumId w:val="28"/>
  </w:num>
  <w:num w:numId="6" w16cid:durableId="1238857130">
    <w:abstractNumId w:val="9"/>
  </w:num>
  <w:num w:numId="7" w16cid:durableId="717825293">
    <w:abstractNumId w:val="15"/>
  </w:num>
  <w:num w:numId="8" w16cid:durableId="1502889149">
    <w:abstractNumId w:val="11"/>
  </w:num>
  <w:num w:numId="9" w16cid:durableId="549076832">
    <w:abstractNumId w:val="24"/>
  </w:num>
  <w:num w:numId="10" w16cid:durableId="157575339">
    <w:abstractNumId w:val="6"/>
  </w:num>
  <w:num w:numId="11" w16cid:durableId="475683491">
    <w:abstractNumId w:val="25"/>
  </w:num>
  <w:num w:numId="12" w16cid:durableId="1399131452">
    <w:abstractNumId w:val="13"/>
  </w:num>
  <w:num w:numId="13" w16cid:durableId="2028558857">
    <w:abstractNumId w:val="12"/>
  </w:num>
  <w:num w:numId="14" w16cid:durableId="198471552">
    <w:abstractNumId w:val="3"/>
  </w:num>
  <w:num w:numId="15" w16cid:durableId="1770347220">
    <w:abstractNumId w:val="1"/>
  </w:num>
  <w:num w:numId="16" w16cid:durableId="1481650486">
    <w:abstractNumId w:val="5"/>
  </w:num>
  <w:num w:numId="17" w16cid:durableId="55856268">
    <w:abstractNumId w:val="10"/>
  </w:num>
  <w:num w:numId="18" w16cid:durableId="1541942543">
    <w:abstractNumId w:val="4"/>
  </w:num>
  <w:num w:numId="19" w16cid:durableId="1939411976">
    <w:abstractNumId w:val="20"/>
  </w:num>
  <w:num w:numId="20" w16cid:durableId="133571694">
    <w:abstractNumId w:val="21"/>
  </w:num>
  <w:num w:numId="21" w16cid:durableId="1183979778">
    <w:abstractNumId w:val="8"/>
  </w:num>
  <w:num w:numId="22" w16cid:durableId="935357878">
    <w:abstractNumId w:val="15"/>
  </w:num>
  <w:num w:numId="23" w16cid:durableId="503132895">
    <w:abstractNumId w:val="17"/>
  </w:num>
  <w:num w:numId="24" w16cid:durableId="803040365">
    <w:abstractNumId w:val="26"/>
  </w:num>
  <w:num w:numId="25" w16cid:durableId="1361542614">
    <w:abstractNumId w:val="0"/>
  </w:num>
  <w:num w:numId="26" w16cid:durableId="430784257">
    <w:abstractNumId w:val="18"/>
  </w:num>
  <w:num w:numId="27" w16cid:durableId="2055734377">
    <w:abstractNumId w:val="27"/>
  </w:num>
  <w:num w:numId="28" w16cid:durableId="942492488">
    <w:abstractNumId w:val="22"/>
  </w:num>
  <w:num w:numId="29" w16cid:durableId="47731473">
    <w:abstractNumId w:val="29"/>
  </w:num>
  <w:num w:numId="30" w16cid:durableId="1284270681">
    <w:abstractNumId w:val="14"/>
  </w:num>
  <w:num w:numId="31" w16cid:durableId="6855204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5A"/>
    <w:rsid w:val="0000417F"/>
    <w:rsid w:val="000114C6"/>
    <w:rsid w:val="000131F9"/>
    <w:rsid w:val="0002426D"/>
    <w:rsid w:val="00024410"/>
    <w:rsid w:val="000308D6"/>
    <w:rsid w:val="00031B4D"/>
    <w:rsid w:val="00035941"/>
    <w:rsid w:val="0006459D"/>
    <w:rsid w:val="00070C85"/>
    <w:rsid w:val="00072168"/>
    <w:rsid w:val="0007469E"/>
    <w:rsid w:val="000753E3"/>
    <w:rsid w:val="00077626"/>
    <w:rsid w:val="00096B33"/>
    <w:rsid w:val="000A0694"/>
    <w:rsid w:val="000A0CE1"/>
    <w:rsid w:val="000A7027"/>
    <w:rsid w:val="000B34DB"/>
    <w:rsid w:val="000B6E39"/>
    <w:rsid w:val="000C4D81"/>
    <w:rsid w:val="000D655A"/>
    <w:rsid w:val="000E3C18"/>
    <w:rsid w:val="000E5234"/>
    <w:rsid w:val="000F0AE7"/>
    <w:rsid w:val="000F1A9F"/>
    <w:rsid w:val="000F4E87"/>
    <w:rsid w:val="000F7DCA"/>
    <w:rsid w:val="00111CBA"/>
    <w:rsid w:val="001317C2"/>
    <w:rsid w:val="00155BE2"/>
    <w:rsid w:val="00156016"/>
    <w:rsid w:val="00157604"/>
    <w:rsid w:val="001771D6"/>
    <w:rsid w:val="0018014B"/>
    <w:rsid w:val="00192D8C"/>
    <w:rsid w:val="001A2CFB"/>
    <w:rsid w:val="001A3C75"/>
    <w:rsid w:val="001B0C08"/>
    <w:rsid w:val="001C195E"/>
    <w:rsid w:val="001D0B3C"/>
    <w:rsid w:val="001F4C11"/>
    <w:rsid w:val="0020122D"/>
    <w:rsid w:val="00205259"/>
    <w:rsid w:val="002063BC"/>
    <w:rsid w:val="00214540"/>
    <w:rsid w:val="00221AA2"/>
    <w:rsid w:val="00223696"/>
    <w:rsid w:val="00235F85"/>
    <w:rsid w:val="00246DD9"/>
    <w:rsid w:val="00247C6B"/>
    <w:rsid w:val="002507F4"/>
    <w:rsid w:val="0025230A"/>
    <w:rsid w:val="00255C6E"/>
    <w:rsid w:val="0026515F"/>
    <w:rsid w:val="002835A6"/>
    <w:rsid w:val="00291D2D"/>
    <w:rsid w:val="002A1DD3"/>
    <w:rsid w:val="002B50DE"/>
    <w:rsid w:val="002B6284"/>
    <w:rsid w:val="002E0196"/>
    <w:rsid w:val="002E7E6E"/>
    <w:rsid w:val="002F1FBB"/>
    <w:rsid w:val="002F6268"/>
    <w:rsid w:val="002F6283"/>
    <w:rsid w:val="00302A20"/>
    <w:rsid w:val="003117D9"/>
    <w:rsid w:val="00337E22"/>
    <w:rsid w:val="0034321A"/>
    <w:rsid w:val="00356136"/>
    <w:rsid w:val="00371543"/>
    <w:rsid w:val="00375845"/>
    <w:rsid w:val="00387840"/>
    <w:rsid w:val="003A3C6A"/>
    <w:rsid w:val="003B2DFD"/>
    <w:rsid w:val="003C1B99"/>
    <w:rsid w:val="003D171B"/>
    <w:rsid w:val="003D3BBE"/>
    <w:rsid w:val="003E2A05"/>
    <w:rsid w:val="003E601A"/>
    <w:rsid w:val="003E6269"/>
    <w:rsid w:val="003F0678"/>
    <w:rsid w:val="003F75CD"/>
    <w:rsid w:val="0040039A"/>
    <w:rsid w:val="004111A5"/>
    <w:rsid w:val="004122DB"/>
    <w:rsid w:val="0042502D"/>
    <w:rsid w:val="00431319"/>
    <w:rsid w:val="00433AB2"/>
    <w:rsid w:val="00437A68"/>
    <w:rsid w:val="00437DBE"/>
    <w:rsid w:val="00440632"/>
    <w:rsid w:val="00443920"/>
    <w:rsid w:val="00486FD7"/>
    <w:rsid w:val="00494C56"/>
    <w:rsid w:val="00494CEE"/>
    <w:rsid w:val="00497379"/>
    <w:rsid w:val="004C1BC2"/>
    <w:rsid w:val="004C435B"/>
    <w:rsid w:val="004C7B80"/>
    <w:rsid w:val="004E5351"/>
    <w:rsid w:val="004E6D28"/>
    <w:rsid w:val="004F0CB8"/>
    <w:rsid w:val="00501107"/>
    <w:rsid w:val="00502F76"/>
    <w:rsid w:val="0051129B"/>
    <w:rsid w:val="0051272C"/>
    <w:rsid w:val="00512F19"/>
    <w:rsid w:val="005157B6"/>
    <w:rsid w:val="00523557"/>
    <w:rsid w:val="005238CD"/>
    <w:rsid w:val="005301B4"/>
    <w:rsid w:val="00532B4E"/>
    <w:rsid w:val="00537B20"/>
    <w:rsid w:val="005772C3"/>
    <w:rsid w:val="00583525"/>
    <w:rsid w:val="00591976"/>
    <w:rsid w:val="005927A0"/>
    <w:rsid w:val="00592FEA"/>
    <w:rsid w:val="005A5CFE"/>
    <w:rsid w:val="005C12E7"/>
    <w:rsid w:val="005C203B"/>
    <w:rsid w:val="005C4991"/>
    <w:rsid w:val="005C61DF"/>
    <w:rsid w:val="005E0F6D"/>
    <w:rsid w:val="005E1EEF"/>
    <w:rsid w:val="00601BEC"/>
    <w:rsid w:val="006269EC"/>
    <w:rsid w:val="0063172C"/>
    <w:rsid w:val="006404AD"/>
    <w:rsid w:val="00643E4E"/>
    <w:rsid w:val="0065174E"/>
    <w:rsid w:val="00656B56"/>
    <w:rsid w:val="006609EA"/>
    <w:rsid w:val="00663BFC"/>
    <w:rsid w:val="00664FA6"/>
    <w:rsid w:val="00667D7A"/>
    <w:rsid w:val="00671F42"/>
    <w:rsid w:val="00674F29"/>
    <w:rsid w:val="00675C12"/>
    <w:rsid w:val="00687D5E"/>
    <w:rsid w:val="006A60C0"/>
    <w:rsid w:val="006D08A6"/>
    <w:rsid w:val="006D6DBC"/>
    <w:rsid w:val="006E1E0F"/>
    <w:rsid w:val="0070727C"/>
    <w:rsid w:val="007213E6"/>
    <w:rsid w:val="0072744D"/>
    <w:rsid w:val="007356F0"/>
    <w:rsid w:val="00750370"/>
    <w:rsid w:val="0075576F"/>
    <w:rsid w:val="00764B2F"/>
    <w:rsid w:val="0077501C"/>
    <w:rsid w:val="00785E65"/>
    <w:rsid w:val="007863D5"/>
    <w:rsid w:val="007A3813"/>
    <w:rsid w:val="007B06DD"/>
    <w:rsid w:val="007B1365"/>
    <w:rsid w:val="007B69D7"/>
    <w:rsid w:val="007C1C73"/>
    <w:rsid w:val="007D0DCD"/>
    <w:rsid w:val="007E74F7"/>
    <w:rsid w:val="007F470F"/>
    <w:rsid w:val="007F547C"/>
    <w:rsid w:val="00800E75"/>
    <w:rsid w:val="00803956"/>
    <w:rsid w:val="00805E2B"/>
    <w:rsid w:val="0081585A"/>
    <w:rsid w:val="00827935"/>
    <w:rsid w:val="008301BE"/>
    <w:rsid w:val="00830F78"/>
    <w:rsid w:val="00842F60"/>
    <w:rsid w:val="00874E56"/>
    <w:rsid w:val="00886DB9"/>
    <w:rsid w:val="008B7EE6"/>
    <w:rsid w:val="008C36B1"/>
    <w:rsid w:val="008D4761"/>
    <w:rsid w:val="008D556E"/>
    <w:rsid w:val="008D790F"/>
    <w:rsid w:val="008F7FD9"/>
    <w:rsid w:val="009055EB"/>
    <w:rsid w:val="0092392B"/>
    <w:rsid w:val="0093600A"/>
    <w:rsid w:val="00957C36"/>
    <w:rsid w:val="00977440"/>
    <w:rsid w:val="0098075D"/>
    <w:rsid w:val="00981980"/>
    <w:rsid w:val="00984656"/>
    <w:rsid w:val="0098734C"/>
    <w:rsid w:val="00994AFD"/>
    <w:rsid w:val="00994C8D"/>
    <w:rsid w:val="009957FB"/>
    <w:rsid w:val="00995FDF"/>
    <w:rsid w:val="009A0917"/>
    <w:rsid w:val="009A40E5"/>
    <w:rsid w:val="009A5DF2"/>
    <w:rsid w:val="009B4606"/>
    <w:rsid w:val="009B6835"/>
    <w:rsid w:val="009C019E"/>
    <w:rsid w:val="009C5B2C"/>
    <w:rsid w:val="009D2345"/>
    <w:rsid w:val="009D30A4"/>
    <w:rsid w:val="009D3D6D"/>
    <w:rsid w:val="009E2837"/>
    <w:rsid w:val="00A064EB"/>
    <w:rsid w:val="00A3413F"/>
    <w:rsid w:val="00A569FA"/>
    <w:rsid w:val="00A6315D"/>
    <w:rsid w:val="00A93137"/>
    <w:rsid w:val="00A93B6F"/>
    <w:rsid w:val="00A96718"/>
    <w:rsid w:val="00AA3911"/>
    <w:rsid w:val="00AB3089"/>
    <w:rsid w:val="00AB623B"/>
    <w:rsid w:val="00AC5313"/>
    <w:rsid w:val="00AD0867"/>
    <w:rsid w:val="00AD14B9"/>
    <w:rsid w:val="00AD33B1"/>
    <w:rsid w:val="00AE394F"/>
    <w:rsid w:val="00B00D73"/>
    <w:rsid w:val="00B06B2A"/>
    <w:rsid w:val="00B24805"/>
    <w:rsid w:val="00B41462"/>
    <w:rsid w:val="00B54DF7"/>
    <w:rsid w:val="00B55BBF"/>
    <w:rsid w:val="00B56E36"/>
    <w:rsid w:val="00B709AD"/>
    <w:rsid w:val="00B8199A"/>
    <w:rsid w:val="00BA26F4"/>
    <w:rsid w:val="00BA5AF4"/>
    <w:rsid w:val="00BA7FA7"/>
    <w:rsid w:val="00BB4B57"/>
    <w:rsid w:val="00BC6A39"/>
    <w:rsid w:val="00BD7A42"/>
    <w:rsid w:val="00C06D07"/>
    <w:rsid w:val="00C13811"/>
    <w:rsid w:val="00C154F3"/>
    <w:rsid w:val="00C17541"/>
    <w:rsid w:val="00C45380"/>
    <w:rsid w:val="00C640E7"/>
    <w:rsid w:val="00C64705"/>
    <w:rsid w:val="00C71598"/>
    <w:rsid w:val="00C80782"/>
    <w:rsid w:val="00C8582C"/>
    <w:rsid w:val="00C942AB"/>
    <w:rsid w:val="00CB2961"/>
    <w:rsid w:val="00CC18FE"/>
    <w:rsid w:val="00CC6232"/>
    <w:rsid w:val="00CD6F51"/>
    <w:rsid w:val="00CD7B05"/>
    <w:rsid w:val="00CE25F7"/>
    <w:rsid w:val="00CE7F21"/>
    <w:rsid w:val="00CF24A3"/>
    <w:rsid w:val="00CF66F3"/>
    <w:rsid w:val="00D2069F"/>
    <w:rsid w:val="00D21188"/>
    <w:rsid w:val="00D27A0F"/>
    <w:rsid w:val="00D47447"/>
    <w:rsid w:val="00D53C32"/>
    <w:rsid w:val="00D62C70"/>
    <w:rsid w:val="00D83AAE"/>
    <w:rsid w:val="00D91C06"/>
    <w:rsid w:val="00D966BD"/>
    <w:rsid w:val="00D966BE"/>
    <w:rsid w:val="00DA2BC9"/>
    <w:rsid w:val="00DB2331"/>
    <w:rsid w:val="00DD6A8A"/>
    <w:rsid w:val="00DD6EC6"/>
    <w:rsid w:val="00DE372B"/>
    <w:rsid w:val="00DE51FA"/>
    <w:rsid w:val="00DE5D43"/>
    <w:rsid w:val="00DF1124"/>
    <w:rsid w:val="00E02DA2"/>
    <w:rsid w:val="00E04667"/>
    <w:rsid w:val="00E0550F"/>
    <w:rsid w:val="00E056C3"/>
    <w:rsid w:val="00E05951"/>
    <w:rsid w:val="00E11AD3"/>
    <w:rsid w:val="00E1550F"/>
    <w:rsid w:val="00E214BA"/>
    <w:rsid w:val="00E23AA2"/>
    <w:rsid w:val="00E3112F"/>
    <w:rsid w:val="00E35D61"/>
    <w:rsid w:val="00E43327"/>
    <w:rsid w:val="00E45389"/>
    <w:rsid w:val="00E47C04"/>
    <w:rsid w:val="00E552C8"/>
    <w:rsid w:val="00E63CDA"/>
    <w:rsid w:val="00E67CFA"/>
    <w:rsid w:val="00E82464"/>
    <w:rsid w:val="00E859C0"/>
    <w:rsid w:val="00E905ED"/>
    <w:rsid w:val="00E94FDC"/>
    <w:rsid w:val="00EB4E71"/>
    <w:rsid w:val="00EC0708"/>
    <w:rsid w:val="00EC57F0"/>
    <w:rsid w:val="00ED6D62"/>
    <w:rsid w:val="00EF55CC"/>
    <w:rsid w:val="00EF6B92"/>
    <w:rsid w:val="00F144F4"/>
    <w:rsid w:val="00F578C2"/>
    <w:rsid w:val="00F671E2"/>
    <w:rsid w:val="00F75A6A"/>
    <w:rsid w:val="00F77E37"/>
    <w:rsid w:val="00F8113B"/>
    <w:rsid w:val="00F81BB5"/>
    <w:rsid w:val="00F83968"/>
    <w:rsid w:val="00F94155"/>
    <w:rsid w:val="00FA1EF9"/>
    <w:rsid w:val="00FA430B"/>
    <w:rsid w:val="00FB07E1"/>
    <w:rsid w:val="00FB216F"/>
    <w:rsid w:val="00FC1B71"/>
    <w:rsid w:val="00FC4FE6"/>
    <w:rsid w:val="00FD38B8"/>
    <w:rsid w:val="00FE199A"/>
    <w:rsid w:val="00FE272A"/>
    <w:rsid w:val="00FE447D"/>
    <w:rsid w:val="00FF591A"/>
    <w:rsid w:val="0298CE73"/>
    <w:rsid w:val="03377230"/>
    <w:rsid w:val="1CEFA5A5"/>
    <w:rsid w:val="22035978"/>
    <w:rsid w:val="2376198B"/>
    <w:rsid w:val="25477B13"/>
    <w:rsid w:val="27664A62"/>
    <w:rsid w:val="2C65E8E5"/>
    <w:rsid w:val="2F0FB629"/>
    <w:rsid w:val="2F605076"/>
    <w:rsid w:val="373135E6"/>
    <w:rsid w:val="37F55486"/>
    <w:rsid w:val="393F7907"/>
    <w:rsid w:val="3E48E983"/>
    <w:rsid w:val="4242A969"/>
    <w:rsid w:val="44E0F884"/>
    <w:rsid w:val="50990CD7"/>
    <w:rsid w:val="5787A12A"/>
    <w:rsid w:val="60FFD23F"/>
    <w:rsid w:val="6C147E9E"/>
    <w:rsid w:val="6D3DD8AD"/>
    <w:rsid w:val="7F5AC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A71E0"/>
  <w15:docId w15:val="{53AE9C72-7471-4F43-AEA5-742BE986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character" w:customStyle="1" w:styleId="normaltextrun">
    <w:name w:val="normaltextrun"/>
    <w:basedOn w:val="DefaultParagraphFont"/>
    <w:rsid w:val="00FB216F"/>
  </w:style>
  <w:style w:type="character" w:customStyle="1" w:styleId="eop">
    <w:name w:val="eop"/>
    <w:basedOn w:val="DefaultParagraphFont"/>
    <w:rsid w:val="00FB216F"/>
  </w:style>
  <w:style w:type="character" w:styleId="CommentReference">
    <w:name w:val="annotation reference"/>
    <w:basedOn w:val="DefaultParagraphFont"/>
    <w:uiPriority w:val="99"/>
    <w:semiHidden/>
    <w:unhideWhenUsed/>
    <w:rsid w:val="00C06D07"/>
    <w:rPr>
      <w:sz w:val="16"/>
      <w:szCs w:val="16"/>
    </w:rPr>
  </w:style>
  <w:style w:type="paragraph" w:styleId="CommentText">
    <w:name w:val="annotation text"/>
    <w:basedOn w:val="Normal"/>
    <w:link w:val="CommentTextChar"/>
    <w:uiPriority w:val="99"/>
    <w:unhideWhenUsed/>
    <w:rsid w:val="00C06D07"/>
    <w:rPr>
      <w:sz w:val="20"/>
      <w:szCs w:val="20"/>
    </w:rPr>
  </w:style>
  <w:style w:type="character" w:customStyle="1" w:styleId="CommentTextChar">
    <w:name w:val="Comment Text Char"/>
    <w:basedOn w:val="DefaultParagraphFont"/>
    <w:link w:val="CommentText"/>
    <w:uiPriority w:val="99"/>
    <w:rsid w:val="00C06D07"/>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06D07"/>
    <w:rPr>
      <w:b/>
      <w:bCs/>
    </w:rPr>
  </w:style>
  <w:style w:type="character" w:customStyle="1" w:styleId="CommentSubjectChar">
    <w:name w:val="Comment Subject Char"/>
    <w:basedOn w:val="CommentTextChar"/>
    <w:link w:val="CommentSubject"/>
    <w:uiPriority w:val="99"/>
    <w:semiHidden/>
    <w:rsid w:val="00C06D07"/>
    <w:rPr>
      <w:rFonts w:asciiTheme="minorHAnsi" w:hAnsiTheme="minorHAnsi"/>
      <w:b/>
      <w:bCs/>
      <w:sz w:val="20"/>
      <w:szCs w:val="20"/>
      <w:lang w:eastAsia="en-US"/>
    </w:rPr>
  </w:style>
  <w:style w:type="paragraph" w:styleId="Revision">
    <w:name w:val="Revision"/>
    <w:hidden/>
    <w:uiPriority w:val="99"/>
    <w:semiHidden/>
    <w:rsid w:val="00156016"/>
    <w:pPr>
      <w:ind w:left="0" w:firstLine="0"/>
      <w:jc w:val="left"/>
    </w:pPr>
    <w:rPr>
      <w:rFonts w:asciiTheme="minorHAnsi" w:hAnsiTheme="minorHAnsi"/>
      <w:sz w:val="24"/>
      <w:szCs w:val="24"/>
      <w:lang w:eastAsia="en-US"/>
    </w:rPr>
  </w:style>
  <w:style w:type="character" w:styleId="Mention">
    <w:name w:val="Mention"/>
    <w:basedOn w:val="DefaultParagraphFont"/>
    <w:uiPriority w:val="99"/>
    <w:unhideWhenUsed/>
    <w:rsid w:val="00874E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78822">
      <w:bodyDiv w:val="1"/>
      <w:marLeft w:val="0"/>
      <w:marRight w:val="0"/>
      <w:marTop w:val="0"/>
      <w:marBottom w:val="0"/>
      <w:divBdr>
        <w:top w:val="none" w:sz="0" w:space="0" w:color="auto"/>
        <w:left w:val="none" w:sz="0" w:space="0" w:color="auto"/>
        <w:bottom w:val="none" w:sz="0" w:space="0" w:color="auto"/>
        <w:right w:val="none" w:sz="0" w:space="0" w:color="auto"/>
      </w:divBdr>
    </w:div>
    <w:div w:id="1103841081">
      <w:bodyDiv w:val="1"/>
      <w:marLeft w:val="0"/>
      <w:marRight w:val="0"/>
      <w:marTop w:val="0"/>
      <w:marBottom w:val="0"/>
      <w:divBdr>
        <w:top w:val="none" w:sz="0" w:space="0" w:color="auto"/>
        <w:left w:val="none" w:sz="0" w:space="0" w:color="auto"/>
        <w:bottom w:val="none" w:sz="0" w:space="0" w:color="auto"/>
        <w:right w:val="none" w:sz="0" w:space="0" w:color="auto"/>
      </w:divBdr>
    </w:div>
    <w:div w:id="1151215140">
      <w:bodyDiv w:val="1"/>
      <w:marLeft w:val="0"/>
      <w:marRight w:val="0"/>
      <w:marTop w:val="0"/>
      <w:marBottom w:val="0"/>
      <w:divBdr>
        <w:top w:val="none" w:sz="0" w:space="0" w:color="auto"/>
        <w:left w:val="none" w:sz="0" w:space="0" w:color="auto"/>
        <w:bottom w:val="none" w:sz="0" w:space="0" w:color="auto"/>
        <w:right w:val="none" w:sz="0" w:space="0" w:color="auto"/>
      </w:divBdr>
    </w:div>
    <w:div w:id="118628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93105c-6615-4cc8-b60a-b0cd8edf2509">
      <UserInfo>
        <DisplayName>Gillian Fryer</DisplayName>
        <AccountId>109</AccountId>
        <AccountType/>
      </UserInfo>
      <UserInfo>
        <DisplayName>Laura Burton</DisplayName>
        <AccountId>28</AccountId>
        <AccountType/>
      </UserInfo>
      <UserInfo>
        <DisplayName>Fran Worthington</DisplayName>
        <AccountId>51</AccountId>
        <AccountType/>
      </UserInfo>
      <UserInfo>
        <DisplayName>Jonathan Bruce</DisplayName>
        <AccountId>27</AccountId>
        <AccountType/>
      </UserInfo>
      <UserInfo>
        <DisplayName>Caren Breddy</DisplayName>
        <AccountId>20</AccountId>
        <AccountType/>
      </UserInfo>
      <UserInfo>
        <DisplayName>Gill MacDonald</DisplayName>
        <AccountId>23</AccountId>
        <AccountType/>
      </UserInfo>
      <UserInfo>
        <DisplayName>Louise Haslehurst</DisplayName>
        <AccountId>30</AccountId>
        <AccountType/>
      </UserInfo>
      <UserInfo>
        <DisplayName>Sue Morcillo</DisplayName>
        <AccountId>65</AccountId>
        <AccountType/>
      </UserInfo>
      <UserInfo>
        <DisplayName>Jen Hayball</DisplayName>
        <AccountId>26</AccountId>
        <AccountType/>
      </UserInfo>
      <UserInfo>
        <DisplayName>Michaela Burns</DisplayName>
        <AccountId>32</AccountId>
        <AccountType/>
      </UserInfo>
      <UserInfo>
        <DisplayName>Rachel Barker</DisplayName>
        <AccountId>105</AccountId>
        <AccountType/>
      </UserInfo>
      <UserInfo>
        <DisplayName>Andrew Stoddart</DisplayName>
        <AccountId>18</AccountId>
        <AccountType/>
      </UserInfo>
      <UserInfo>
        <DisplayName>Peter Bacon</DisplayName>
        <AccountId>62</AccountId>
        <AccountType/>
      </UserInfo>
      <UserInfo>
        <DisplayName>Andrew Spedding</DisplayName>
        <AccountId>17</AccountId>
        <AccountType/>
      </UserInfo>
      <UserInfo>
        <DisplayName>Daniel Brocklehurst</DisplayName>
        <AccountId>22</AccountId>
        <AccountType/>
      </UserInfo>
      <UserInfo>
        <DisplayName>Donna Bradley</DisplayName>
        <AccountId>67</AccountId>
        <AccountType/>
      </UserInfo>
      <UserInfo>
        <DisplayName>Amanda Libecans</DisplayName>
        <AccountId>15</AccountId>
        <AccountType/>
      </UserInfo>
      <UserInfo>
        <DisplayName>Marie Richards</DisplayName>
        <AccountId>31</AccountId>
        <AccountType/>
      </UserInfo>
      <UserInfo>
        <DisplayName>Amy Harding</DisplayName>
        <AccountId>16</AccountId>
        <AccountType/>
      </UserInfo>
      <UserInfo>
        <DisplayName>Jamie Cunningham</DisplayName>
        <AccountId>25</AccountId>
        <AccountType/>
      </UserInfo>
      <UserInfo>
        <DisplayName>Sarah Parker</DisplayName>
        <AccountId>36</AccountId>
        <AccountType/>
      </UserInfo>
      <UserInfo>
        <DisplayName>Sharron McIndoe</DisplayName>
        <AccountId>76</AccountId>
        <AccountType/>
      </UserInfo>
      <UserInfo>
        <DisplayName>Rachel Marsland</DisplayName>
        <AccountId>35</AccountId>
        <AccountType/>
      </UserInfo>
      <UserInfo>
        <DisplayName>Stacy Goodwin</DisplayName>
        <AccountId>81</AccountId>
        <AccountType/>
      </UserInfo>
      <UserInfo>
        <DisplayName>Dan Adu-Gyamfi</DisplayName>
        <AccountId>160</AccountId>
        <AccountType/>
      </UserInfo>
      <UserInfo>
        <DisplayName>Zakiyya Richardson</DisplayName>
        <AccountId>120</AccountId>
        <AccountType/>
      </UserInfo>
      <UserInfo>
        <DisplayName>Liz Chavasse-Hadfield</DisplayName>
        <AccountId>29</AccountId>
        <AccountType/>
      </UserInfo>
    </SharedWithUsers>
    <Status xmlns="db4c8793-b834-4ca9-8f50-9b68e268f646" xsi:nil="true"/>
    <InternalCommsRequired_x003f_ xmlns="db4c8793-b834-4ca9-8f50-9b68e268f646">false</InternalCommsRequired_x003f_>
    <ChangeReason xmlns="db4c8793-b834-4ca9-8f50-9b68e268f646" xsi:nil="true"/>
    <LastApproved xmlns="db4c8793-b834-4ca9-8f50-9b68e268f646">2024-08-21T23:00:00+00:00</LastApproved>
    <Reviewer xmlns="db4c8793-b834-4ca9-8f50-9b68e268f646">
      <Value>SMT</Value>
      <Value>Challenge Group</Value>
    </Reviewer>
    <LegalCheck xmlns="db4c8793-b834-4ca9-8f50-9b68e268f646" xsi:nil="true"/>
    <Approver xmlns="db4c8793-b834-4ca9-8f50-9b68e268f646">EMT</Approver>
    <LegalCheckComments xmlns="db4c8793-b834-4ca9-8f50-9b68e268f646" xsi:nil="true"/>
    <Customercommsrequired_x003f_ xmlns="db4c8793-b834-4ca9-8f50-9b68e268f646">false</Customercommsrequired_x003f_>
    <Togoonwebsite_x003f_ xmlns="db4c8793-b834-4ca9-8f50-9b68e268f646">false</Togoonwebsite_x003f_>
    <ApprovalDueDate xmlns="db4c8793-b834-4ca9-8f50-9b68e268f646">2027-08-30T23:00:00+00:00</ApprovalDueDate>
    <Archived xmlns="db4c8793-b834-4ca9-8f50-9b68e268f646">false</Archived>
    <LeadPerson xmlns="db4c8793-b834-4ca9-8f50-9b68e268f646">
      <UserInfo>
        <DisplayName>Steffanie Goalen</DisplayName>
        <AccountId>169</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2027-04-29T23:00:00+00:00</PolicytobeReviewedW_x002f_C>
    <_Flow_SignoffStatus xmlns="db4c8793-b834-4ca9-8f50-9b68e268f646" xsi:nil="true"/>
    <Team_x0020_Library_x0020_Tags xmlns="db4c8793-b834-4ca9-8f50-9b68e268f6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79330-4E42-40A4-9437-A9965D7EE36D}">
  <ds:schemaRefs>
    <ds:schemaRef ds:uri="http://schemas.microsoft.com/sharepoint/v3/contenttype/forms"/>
  </ds:schemaRefs>
</ds:datastoreItem>
</file>

<file path=customXml/itemProps2.xml><?xml version="1.0" encoding="utf-8"?>
<ds:datastoreItem xmlns:ds="http://schemas.openxmlformats.org/officeDocument/2006/customXml" ds:itemID="{C7D26A47-1C35-433E-902F-0B35CBEE47A5}">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5264198d-e7de-4353-be3a-eb65fe17c2f1"/>
    <ds:schemaRef ds:uri="http://purl.org/dc/terms/"/>
    <ds:schemaRef ds:uri="http://purl.org/dc/dcmitype/"/>
    <ds:schemaRef ds:uri="2dad36e7-eb71-44d5-8ee6-7b550f03c2eb"/>
  </ds:schemaRefs>
</ds:datastoreItem>
</file>

<file path=customXml/itemProps3.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4.xml><?xml version="1.0" encoding="utf-8"?>
<ds:datastoreItem xmlns:ds="http://schemas.openxmlformats.org/officeDocument/2006/customXml" ds:itemID="{23190278-9301-4EA7-9A6F-4065328435FE}"/>
</file>

<file path=docProps/app.xml><?xml version="1.0" encoding="utf-8"?>
<Properties xmlns="http://schemas.openxmlformats.org/officeDocument/2006/extended-properties" xmlns:vt="http://schemas.openxmlformats.org/officeDocument/2006/docPropsVTypes">
  <Template>Normal</Template>
  <TotalTime>8</TotalTime>
  <Pages>12</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23137</CharactersWithSpaces>
  <SharedDoc>false</SharedDoc>
  <HLinks>
    <vt:vector size="12" baseType="variant">
      <vt:variant>
        <vt:i4>2031730</vt:i4>
      </vt:variant>
      <vt:variant>
        <vt:i4>3</vt:i4>
      </vt:variant>
      <vt:variant>
        <vt:i4>0</vt:i4>
      </vt:variant>
      <vt:variant>
        <vt:i4>5</vt:i4>
      </vt:variant>
      <vt:variant>
        <vt:lpwstr>mailto:s.goalen@peaksplains.org</vt:lpwstr>
      </vt:variant>
      <vt:variant>
        <vt:lpwstr/>
      </vt:variant>
      <vt:variant>
        <vt:i4>2031730</vt:i4>
      </vt:variant>
      <vt:variant>
        <vt:i4>0</vt:i4>
      </vt:variant>
      <vt:variant>
        <vt:i4>0</vt:i4>
      </vt:variant>
      <vt:variant>
        <vt:i4>5</vt:i4>
      </vt:variant>
      <vt:variant>
        <vt:lpwstr>mailto:s.goalen@peaksplains.org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Jade Cegielski</dc:creator>
  <cp:keywords/>
  <dc:description/>
  <cp:lastModifiedBy>Jen Hayball</cp:lastModifiedBy>
  <cp:revision>4</cp:revision>
  <cp:lastPrinted>2011-07-13T20:55:00Z</cp:lastPrinted>
  <dcterms:created xsi:type="dcterms:W3CDTF">2024-09-04T10:21:00Z</dcterms:created>
  <dcterms:modified xsi:type="dcterms:W3CDTF">2024-09-04T10:29:00Z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y fmtid="{D5CDD505-2E9C-101B-9397-08002B2CF9AE}" pid="3" name="MediaServiceImageTags">
    <vt:lpwstr/>
  </property>
</Properties>
</file>