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427F8D5C" w14:textId="77777777" w:rsidTr="05EFFE67">
        <w:tc>
          <w:tcPr>
            <w:tcW w:w="0" w:type="auto"/>
          </w:tcPr>
          <w:p w14:paraId="58655520" w14:textId="77777777" w:rsidR="007D0DCD" w:rsidRPr="007D0DCD" w:rsidRDefault="007D0DCD" w:rsidP="007D0DCD">
            <w:pPr>
              <w:rPr>
                <w:rFonts w:ascii="Calibri" w:eastAsia="Times New Roman" w:hAnsi="Calibri"/>
                <w:sz w:val="72"/>
                <w:szCs w:val="72"/>
              </w:rPr>
            </w:pPr>
            <w:r w:rsidRPr="007D0DCD">
              <w:rPr>
                <w:rFonts w:ascii="Calibri" w:eastAsia="Times New Roman" w:hAnsi="Calibri"/>
                <w:sz w:val="72"/>
                <w:szCs w:val="72"/>
              </w:rPr>
              <w:t>The Trust</w:t>
            </w:r>
          </w:p>
        </w:tc>
      </w:tr>
      <w:tr w:rsidR="007D0DCD" w:rsidRPr="007D0DCD" w14:paraId="7952093F" w14:textId="77777777" w:rsidTr="05EFFE67">
        <w:tc>
          <w:tcPr>
            <w:tcW w:w="0" w:type="auto"/>
          </w:tcPr>
          <w:p w14:paraId="325EC901" w14:textId="721ADAA7" w:rsidR="007D0DCD" w:rsidRPr="007D0DCD" w:rsidRDefault="00AA2694" w:rsidP="00813DEE">
            <w:pPr>
              <w:jc w:val="left"/>
              <w:rPr>
                <w:rFonts w:ascii="Calibri" w:eastAsia="Times New Roman" w:hAnsi="Calibri"/>
                <w:sz w:val="40"/>
                <w:szCs w:val="40"/>
              </w:rPr>
            </w:pPr>
            <w:r w:rsidRPr="00813DEE">
              <w:rPr>
                <w:rFonts w:ascii="Calibri" w:eastAsia="Times New Roman" w:hAnsi="Calibri"/>
                <w:sz w:val="40"/>
                <w:szCs w:val="40"/>
              </w:rPr>
              <w:t>Tenancy Fraud Policy</w:t>
            </w:r>
          </w:p>
        </w:tc>
      </w:tr>
      <w:tr w:rsidR="007D0DCD" w:rsidRPr="007D0DCD" w14:paraId="4DB85CCC" w14:textId="77777777" w:rsidTr="05EFFE67">
        <w:tc>
          <w:tcPr>
            <w:tcW w:w="0" w:type="auto"/>
          </w:tcPr>
          <w:p w14:paraId="5B39A694" w14:textId="7BC75D13" w:rsidR="00B54DF7" w:rsidRPr="00B54DF7" w:rsidRDefault="00DD6A8A" w:rsidP="00813DEE">
            <w:pPr>
              <w:jc w:val="left"/>
              <w:rPr>
                <w:rFonts w:ascii="Calibri" w:eastAsia="Times New Roman" w:hAnsi="Calibri"/>
                <w:i/>
                <w:iCs/>
                <w:color w:val="A6A6A6" w:themeColor="background1" w:themeShade="A6"/>
                <w:sz w:val="28"/>
                <w:szCs w:val="28"/>
              </w:rPr>
            </w:pPr>
            <w:r>
              <w:rPr>
                <w:rFonts w:ascii="Calibri" w:eastAsia="Times New Roman" w:hAnsi="Calibri"/>
                <w:sz w:val="28"/>
                <w:szCs w:val="28"/>
              </w:rPr>
              <w:t xml:space="preserve">Version number: </w:t>
            </w:r>
            <w:r w:rsidR="00DE372B" w:rsidRPr="00DE372B">
              <w:rPr>
                <w:rFonts w:ascii="Calibri" w:eastAsia="Times New Roman" w:hAnsi="Calibri"/>
                <w:color w:val="FF0000"/>
                <w:sz w:val="28"/>
                <w:szCs w:val="28"/>
              </w:rPr>
              <w:t xml:space="preserve"> </w:t>
            </w:r>
            <w:r w:rsidR="00813DEE">
              <w:rPr>
                <w:rFonts w:ascii="Calibri" w:eastAsia="Times New Roman" w:hAnsi="Calibri"/>
                <w:color w:val="4F6228" w:themeColor="accent3" w:themeShade="80"/>
                <w:sz w:val="28"/>
                <w:szCs w:val="28"/>
              </w:rPr>
              <w:t>v2</w:t>
            </w:r>
          </w:p>
        </w:tc>
      </w:tr>
      <w:tr w:rsidR="007D0DCD" w:rsidRPr="007D0DCD" w14:paraId="32CFE814" w14:textId="77777777" w:rsidTr="05EFFE67">
        <w:tc>
          <w:tcPr>
            <w:tcW w:w="0" w:type="auto"/>
          </w:tcPr>
          <w:p w14:paraId="34CCE091" w14:textId="60962E24" w:rsidR="007D0DCD" w:rsidRPr="00B54DF7" w:rsidRDefault="00DD6A8A" w:rsidP="00813DEE">
            <w:pPr>
              <w:jc w:val="left"/>
              <w:rPr>
                <w:rFonts w:ascii="Calibri" w:eastAsia="Times New Roman" w:hAnsi="Calibri"/>
                <w:i/>
                <w:iCs/>
                <w:sz w:val="28"/>
                <w:szCs w:val="28"/>
              </w:rPr>
            </w:pPr>
            <w:r>
              <w:rPr>
                <w:rFonts w:ascii="Calibri" w:eastAsia="Times New Roman" w:hAnsi="Calibri"/>
                <w:sz w:val="28"/>
                <w:szCs w:val="28"/>
              </w:rPr>
              <w:t>Effective Date:</w:t>
            </w:r>
            <w:r w:rsidR="00DE372B">
              <w:rPr>
                <w:rFonts w:ascii="Calibri" w:eastAsia="Times New Roman" w:hAnsi="Calibri"/>
                <w:sz w:val="28"/>
                <w:szCs w:val="28"/>
              </w:rPr>
              <w:t xml:space="preserve"> </w:t>
            </w:r>
            <w:r w:rsidR="00813DEE">
              <w:rPr>
                <w:rFonts w:ascii="Calibri" w:eastAsia="Times New Roman" w:hAnsi="Calibri"/>
                <w:sz w:val="28"/>
                <w:szCs w:val="28"/>
              </w:rPr>
              <w:t xml:space="preserve">                     </w:t>
            </w:r>
            <w:r w:rsidR="00813DEE" w:rsidRPr="00813DEE">
              <w:rPr>
                <w:rFonts w:ascii="Calibri" w:eastAsia="Times New Roman" w:hAnsi="Calibri"/>
                <w:color w:val="4F6228" w:themeColor="accent3" w:themeShade="80"/>
                <w:sz w:val="28"/>
                <w:szCs w:val="28"/>
              </w:rPr>
              <w:t>1</w:t>
            </w:r>
            <w:r w:rsidR="00813DEE" w:rsidRPr="00813DEE">
              <w:rPr>
                <w:rFonts w:ascii="Calibri" w:eastAsia="Times New Roman" w:hAnsi="Calibri"/>
                <w:color w:val="4F6228" w:themeColor="accent3" w:themeShade="80"/>
                <w:sz w:val="28"/>
                <w:szCs w:val="28"/>
                <w:vertAlign w:val="superscript"/>
              </w:rPr>
              <w:t>st</w:t>
            </w:r>
            <w:r w:rsidR="00813DEE" w:rsidRPr="00813DEE">
              <w:rPr>
                <w:rFonts w:ascii="Calibri" w:eastAsia="Times New Roman" w:hAnsi="Calibri"/>
                <w:color w:val="4F6228" w:themeColor="accent3" w:themeShade="80"/>
                <w:sz w:val="28"/>
                <w:szCs w:val="28"/>
              </w:rPr>
              <w:t xml:space="preserve"> February 2024</w:t>
            </w:r>
          </w:p>
        </w:tc>
      </w:tr>
      <w:tr w:rsidR="007D0DCD" w:rsidRPr="007D0DCD" w14:paraId="437452AA" w14:textId="77777777" w:rsidTr="05EFFE67">
        <w:tc>
          <w:tcPr>
            <w:tcW w:w="0" w:type="auto"/>
          </w:tcPr>
          <w:p w14:paraId="6D071317" w14:textId="77777777" w:rsidR="007D0DCD" w:rsidRPr="007D0DCD" w:rsidRDefault="007D0DCD" w:rsidP="007D0DCD">
            <w:pPr>
              <w:rPr>
                <w:rFonts w:ascii="Calibri" w:eastAsia="Times New Roman" w:hAnsi="Calibri"/>
                <w:sz w:val="28"/>
                <w:szCs w:val="28"/>
              </w:rPr>
            </w:pPr>
          </w:p>
        </w:tc>
      </w:tr>
    </w:tbl>
    <w:p w14:paraId="60942098"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color w:val="2B579A"/>
          <w:szCs w:val="20"/>
          <w:shd w:val="clear" w:color="auto" w:fill="E6E6E6"/>
          <w:lang w:eastAsia="en-GB"/>
        </w:rPr>
        <w:drawing>
          <wp:inline distT="0" distB="0" distL="0" distR="0" wp14:anchorId="07552D2E" wp14:editId="69B2E86B">
            <wp:extent cx="3543300" cy="2828925"/>
            <wp:effectExtent l="0" t="0" r="0" b="9525"/>
            <wp:docPr id="4" name="Picture 4"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2DB3431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51214AA1"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538DFB4"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71EAAE5D" w14:textId="77777777" w:rsidR="007D0DCD" w:rsidRPr="007D0DCD" w:rsidRDefault="007D0DCD" w:rsidP="007D0DCD">
      <w:pPr>
        <w:rPr>
          <w:rFonts w:ascii="Calibri" w:eastAsia="Times New Roman" w:hAnsi="Calibri"/>
          <w:b/>
          <w:szCs w:val="20"/>
          <w:u w:val="single"/>
          <w:lang w:eastAsia="en-GB"/>
        </w:rPr>
      </w:pPr>
    </w:p>
    <w:p w14:paraId="53302BE8" w14:textId="77777777" w:rsidR="007D0DCD" w:rsidRPr="007D0DCD" w:rsidRDefault="007D0DCD" w:rsidP="007D0DCD">
      <w:pPr>
        <w:rPr>
          <w:rFonts w:ascii="Calibri" w:eastAsia="Times New Roman" w:hAnsi="Calibri"/>
          <w:b/>
          <w:szCs w:val="20"/>
          <w:u w:val="single"/>
          <w:lang w:eastAsia="en-GB"/>
        </w:rPr>
      </w:pPr>
    </w:p>
    <w:p w14:paraId="7A114283" w14:textId="77777777" w:rsidR="007D0DCD" w:rsidRPr="007D0DCD" w:rsidRDefault="007D0DCD" w:rsidP="007D0DCD">
      <w:pPr>
        <w:rPr>
          <w:rFonts w:ascii="Calibri" w:eastAsia="Times New Roman" w:hAnsi="Calibri"/>
          <w:b/>
          <w:szCs w:val="20"/>
          <w:u w:val="single"/>
          <w:lang w:eastAsia="en-GB"/>
        </w:rPr>
      </w:pPr>
    </w:p>
    <w:p w14:paraId="033196A0" w14:textId="77777777" w:rsidR="007D0DCD" w:rsidRPr="007D0DCD" w:rsidRDefault="007D0DCD" w:rsidP="007D0DCD">
      <w:pPr>
        <w:rPr>
          <w:rFonts w:ascii="Calibri" w:eastAsia="Times New Roman" w:hAnsi="Calibri"/>
          <w:b/>
          <w:szCs w:val="20"/>
          <w:u w:val="single"/>
          <w:lang w:eastAsia="en-GB"/>
        </w:rPr>
      </w:pPr>
    </w:p>
    <w:p w14:paraId="206C357E" w14:textId="77777777" w:rsidR="007D0DCD" w:rsidRPr="007D0DCD" w:rsidRDefault="007D0DCD" w:rsidP="007D0DCD">
      <w:pPr>
        <w:rPr>
          <w:rFonts w:ascii="Calibri" w:eastAsia="Times New Roman" w:hAnsi="Calibri"/>
          <w:b/>
          <w:szCs w:val="20"/>
          <w:u w:val="single"/>
          <w:lang w:eastAsia="en-GB"/>
        </w:rPr>
      </w:pPr>
    </w:p>
    <w:p w14:paraId="724CF38C" w14:textId="77777777" w:rsidR="007D0DCD" w:rsidRPr="007D0DCD" w:rsidRDefault="007D0DCD" w:rsidP="007D0DCD">
      <w:pPr>
        <w:rPr>
          <w:rFonts w:ascii="Calibri" w:eastAsia="Times New Roman" w:hAnsi="Calibri"/>
          <w:b/>
          <w:szCs w:val="20"/>
          <w:u w:val="single"/>
          <w:lang w:eastAsia="en-GB"/>
        </w:rPr>
      </w:pPr>
    </w:p>
    <w:p w14:paraId="0D282B5D" w14:textId="77777777" w:rsidR="007D0DCD" w:rsidRPr="007D0DCD" w:rsidRDefault="007D0DCD" w:rsidP="007D0DCD">
      <w:pPr>
        <w:rPr>
          <w:rFonts w:ascii="Calibri" w:eastAsia="Times New Roman" w:hAnsi="Calibri"/>
          <w:b/>
          <w:szCs w:val="20"/>
          <w:u w:val="single"/>
          <w:lang w:eastAsia="en-GB"/>
        </w:rPr>
      </w:pPr>
    </w:p>
    <w:p w14:paraId="591438AB" w14:textId="77777777" w:rsidR="007D0DCD" w:rsidRPr="007D0DCD" w:rsidRDefault="007D0DCD" w:rsidP="007D0DCD">
      <w:pPr>
        <w:rPr>
          <w:rFonts w:ascii="Calibri" w:eastAsia="Times New Roman" w:hAnsi="Calibri"/>
          <w:b/>
          <w:szCs w:val="20"/>
          <w:u w:val="single"/>
          <w:lang w:eastAsia="en-GB"/>
        </w:rPr>
      </w:pPr>
    </w:p>
    <w:p w14:paraId="77CEE690" w14:textId="77F4EDF6" w:rsidR="007D0DCD" w:rsidRPr="007D0DCD" w:rsidRDefault="00813DEE" w:rsidP="00813DEE">
      <w:pPr>
        <w:jc w:val="right"/>
        <w:rPr>
          <w:rFonts w:ascii="Calibri" w:eastAsia="Times New Roman" w:hAnsi="Calibri"/>
          <w:b/>
          <w:szCs w:val="20"/>
          <w:u w:val="single"/>
          <w:lang w:eastAsia="en-GB"/>
        </w:rPr>
      </w:pPr>
      <w:r>
        <w:rPr>
          <w:rFonts w:ascii="Calibri" w:eastAsia="Times New Roman" w:hAnsi="Calibri"/>
          <w:b/>
          <w:noProof/>
          <w:szCs w:val="20"/>
          <w:u w:val="single"/>
          <w:lang w:eastAsia="en-GB"/>
        </w:rPr>
        <w:drawing>
          <wp:inline distT="0" distB="0" distL="0" distR="0" wp14:anchorId="0A59FD64" wp14:editId="5E99554E">
            <wp:extent cx="1631950" cy="1631950"/>
            <wp:effectExtent l="0" t="0" r="6350" b="6350"/>
            <wp:docPr id="393108449" name="Picture 1" descr="A green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108449" name="Picture 1" descr="A green leaf in a circle&#10;&#10;Description automatically generated"/>
                    <pic:cNvPicPr/>
                  </pic:nvPicPr>
                  <pic:blipFill>
                    <a:blip r:embed="rId12"/>
                    <a:stretch>
                      <a:fillRect/>
                    </a:stretch>
                  </pic:blipFill>
                  <pic:spPr>
                    <a:xfrm>
                      <a:off x="0" y="0"/>
                      <a:ext cx="1631950" cy="1631950"/>
                    </a:xfrm>
                    <a:prstGeom prst="rect">
                      <a:avLst/>
                    </a:prstGeom>
                  </pic:spPr>
                </pic:pic>
              </a:graphicData>
            </a:graphic>
          </wp:inline>
        </w:drawing>
      </w:r>
    </w:p>
    <w:p w14:paraId="57701879" w14:textId="77777777" w:rsidR="007D0DCD" w:rsidRPr="007D0DCD" w:rsidRDefault="007D0DCD" w:rsidP="007D0DCD">
      <w:pPr>
        <w:rPr>
          <w:rFonts w:ascii="Calibri" w:eastAsia="Times New Roman" w:hAnsi="Calibri"/>
          <w:b/>
          <w:szCs w:val="20"/>
          <w:u w:val="single"/>
          <w:lang w:eastAsia="en-GB"/>
        </w:rPr>
      </w:pPr>
    </w:p>
    <w:p w14:paraId="0267C509" w14:textId="77777777" w:rsidR="007D0DCD" w:rsidRPr="007D0DCD" w:rsidRDefault="007D0DCD" w:rsidP="007D0DCD">
      <w:pPr>
        <w:rPr>
          <w:rFonts w:ascii="Calibri" w:eastAsia="Times New Roman" w:hAnsi="Calibri"/>
          <w:b/>
          <w:szCs w:val="20"/>
          <w:u w:val="single"/>
          <w:lang w:eastAsia="en-GB"/>
        </w:rPr>
      </w:pPr>
    </w:p>
    <w:p w14:paraId="61FE8D09" w14:textId="77777777" w:rsidR="007D0DCD" w:rsidRPr="007D0DCD" w:rsidRDefault="007D0DCD" w:rsidP="007D0DCD">
      <w:pPr>
        <w:rPr>
          <w:rFonts w:ascii="Calibri" w:eastAsia="Times New Roman" w:hAnsi="Calibri"/>
          <w:b/>
          <w:szCs w:val="20"/>
          <w:u w:val="single"/>
          <w:lang w:eastAsia="en-GB"/>
        </w:rPr>
      </w:pPr>
    </w:p>
    <w:p w14:paraId="7D7576E6" w14:textId="77777777" w:rsidR="007D0DCD" w:rsidRPr="007D0DCD" w:rsidRDefault="007D0DCD" w:rsidP="007D0DCD">
      <w:pPr>
        <w:rPr>
          <w:rFonts w:ascii="Calibri" w:eastAsia="Times New Roman" w:hAnsi="Calibri"/>
          <w:b/>
          <w:szCs w:val="20"/>
          <w:u w:val="single"/>
          <w:lang w:eastAsia="en-GB"/>
        </w:rPr>
      </w:pPr>
    </w:p>
    <w:p w14:paraId="1E5F443A" w14:textId="77777777" w:rsidR="007D0DCD" w:rsidRPr="007D0DCD" w:rsidRDefault="007D0DCD" w:rsidP="007D0DCD">
      <w:pPr>
        <w:rPr>
          <w:rFonts w:ascii="Calibri" w:eastAsia="Times New Roman" w:hAnsi="Calibri"/>
          <w:b/>
          <w:szCs w:val="20"/>
          <w:u w:val="single"/>
          <w:lang w:eastAsia="en-GB"/>
        </w:rPr>
      </w:pPr>
    </w:p>
    <w:p w14:paraId="47C9237C" w14:textId="77777777" w:rsidR="007D0DCD" w:rsidRPr="007D0DCD" w:rsidRDefault="007D0DCD" w:rsidP="007D0DCD">
      <w:pPr>
        <w:rPr>
          <w:rFonts w:ascii="Calibri" w:eastAsia="Times New Roman" w:hAnsi="Calibri"/>
          <w:b/>
          <w:szCs w:val="20"/>
          <w:u w:val="single"/>
          <w:lang w:eastAsia="en-GB"/>
        </w:rPr>
      </w:pPr>
    </w:p>
    <w:p w14:paraId="0A6331A7" w14:textId="77777777" w:rsidR="007D0DCD" w:rsidRPr="007D0DCD" w:rsidRDefault="007D0DCD" w:rsidP="007D0DCD">
      <w:pPr>
        <w:rPr>
          <w:rFonts w:ascii="Calibri" w:eastAsia="Times New Roman" w:hAnsi="Calibri"/>
          <w:b/>
          <w:szCs w:val="20"/>
          <w:u w:val="single"/>
          <w:lang w:eastAsia="en-GB"/>
        </w:rPr>
      </w:pPr>
    </w:p>
    <w:p w14:paraId="1A7492D6" w14:textId="77777777" w:rsidR="007D0DCD" w:rsidRPr="007D0DCD" w:rsidRDefault="007D0DCD" w:rsidP="007D0DCD">
      <w:pPr>
        <w:rPr>
          <w:rFonts w:ascii="Calibri" w:eastAsia="Times New Roman" w:hAnsi="Calibri"/>
          <w:b/>
          <w:szCs w:val="20"/>
          <w:u w:val="single"/>
          <w:lang w:eastAsia="en-GB"/>
        </w:rPr>
        <w:sectPr w:rsidR="007D0DCD" w:rsidRPr="007D0DCD">
          <w:pgSz w:w="11906" w:h="16838"/>
          <w:pgMar w:top="1440" w:right="1800" w:bottom="1440" w:left="1800" w:header="708" w:footer="708" w:gutter="0"/>
          <w:cols w:space="708"/>
          <w:docGrid w:linePitch="360"/>
        </w:sectPr>
      </w:pPr>
    </w:p>
    <w:p w14:paraId="0531D3F1" w14:textId="11328DE0"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r w:rsidR="00DE372B">
        <w:rPr>
          <w:rFonts w:ascii="Calibri" w:eastAsia="Times New Roman" w:hAnsi="Calibri"/>
          <w:b/>
          <w:color w:val="7AC142"/>
          <w:sz w:val="28"/>
          <w:szCs w:val="20"/>
          <w:lang w:eastAsia="en-GB"/>
        </w:rPr>
        <w:t xml:space="preserve"> </w:t>
      </w:r>
      <w:r w:rsidR="00813DEE">
        <w:rPr>
          <w:rFonts w:ascii="Calibri" w:eastAsia="Times New Roman" w:hAnsi="Calibri"/>
          <w:b/>
          <w:i/>
          <w:iCs/>
          <w:color w:val="FF0000"/>
          <w:sz w:val="28"/>
          <w:szCs w:val="20"/>
          <w:lang w:eastAsia="en-GB"/>
        </w:rPr>
        <w:t xml:space="preserve"> </w:t>
      </w:r>
    </w:p>
    <w:p w14:paraId="639C80DE" w14:textId="77777777" w:rsidR="007D0DCD" w:rsidRPr="00DE372B" w:rsidRDefault="007D0DCD" w:rsidP="007D0DCD">
      <w:pPr>
        <w:rPr>
          <w:rFonts w:ascii="Calibri" w:eastAsia="Times New Roman" w:hAnsi="Calibri"/>
          <w:b/>
          <w:color w:val="FF0000"/>
          <w:szCs w:val="20"/>
          <w:u w:val="single"/>
          <w:lang w:eastAsia="en-GB"/>
        </w:rPr>
      </w:pPr>
    </w:p>
    <w:p w14:paraId="02947CD9" w14:textId="497BEF17" w:rsidR="007B06DD" w:rsidRDefault="00D966BD">
      <w:pPr>
        <w:pStyle w:val="TOC1"/>
        <w:rPr>
          <w:rFonts w:asciiTheme="minorHAnsi" w:eastAsiaTheme="minorEastAsia" w:hAnsiTheme="minorHAnsi" w:cstheme="minorBidi"/>
          <w:b w:val="0"/>
          <w:caps w:val="0"/>
          <w:sz w:val="22"/>
          <w:szCs w:val="22"/>
          <w:lang w:eastAsia="en-GB"/>
        </w:rPr>
      </w:pPr>
      <w:r>
        <w:rPr>
          <w:rFonts w:eastAsia="Times New Roman" w:cs="Arial"/>
          <w:color w:val="2B579A"/>
          <w:szCs w:val="20"/>
          <w:shd w:val="clear" w:color="auto" w:fill="E6E6E6"/>
        </w:rPr>
        <w:fldChar w:fldCharType="begin"/>
      </w:r>
      <w:r>
        <w:rPr>
          <w:rFonts w:eastAsia="Times New Roman" w:cs="Arial"/>
          <w:szCs w:val="20"/>
        </w:rPr>
        <w:instrText xml:space="preserve"> TOC \o "1-1" \t "Heading2,2" </w:instrText>
      </w:r>
      <w:r>
        <w:rPr>
          <w:rFonts w:eastAsia="Times New Roman" w:cs="Arial"/>
          <w:color w:val="2B579A"/>
          <w:szCs w:val="20"/>
          <w:shd w:val="clear" w:color="auto" w:fill="E6E6E6"/>
        </w:rPr>
        <w:fldChar w:fldCharType="separate"/>
      </w:r>
      <w:r w:rsidR="007B06DD">
        <w:t>INTRODUCTION</w:t>
      </w:r>
      <w:r w:rsidR="007B06DD">
        <w:tab/>
      </w:r>
      <w:r w:rsidR="007B06DD">
        <w:rPr>
          <w:color w:val="2B579A"/>
          <w:shd w:val="clear" w:color="auto" w:fill="E6E6E6"/>
        </w:rPr>
        <w:fldChar w:fldCharType="begin"/>
      </w:r>
      <w:r w:rsidR="007B06DD">
        <w:instrText xml:space="preserve"> PAGEREF _Toc116910368 \h </w:instrText>
      </w:r>
      <w:r w:rsidR="007B06DD">
        <w:rPr>
          <w:color w:val="2B579A"/>
          <w:shd w:val="clear" w:color="auto" w:fill="E6E6E6"/>
        </w:rPr>
      </w:r>
      <w:r w:rsidR="007B06DD">
        <w:rPr>
          <w:color w:val="2B579A"/>
          <w:shd w:val="clear" w:color="auto" w:fill="E6E6E6"/>
        </w:rPr>
        <w:fldChar w:fldCharType="separate"/>
      </w:r>
      <w:r w:rsidR="00813DEE">
        <w:t>1</w:t>
      </w:r>
      <w:r w:rsidR="007B06DD">
        <w:rPr>
          <w:color w:val="2B579A"/>
          <w:shd w:val="clear" w:color="auto" w:fill="E6E6E6"/>
        </w:rPr>
        <w:fldChar w:fldCharType="end"/>
      </w:r>
    </w:p>
    <w:p w14:paraId="158646C9" w14:textId="5D2F1CAA" w:rsidR="007B06DD" w:rsidRDefault="007B06DD">
      <w:pPr>
        <w:pStyle w:val="TOC1"/>
        <w:rPr>
          <w:rFonts w:asciiTheme="minorHAnsi" w:eastAsiaTheme="minorEastAsia" w:hAnsiTheme="minorHAnsi" w:cstheme="minorBidi"/>
          <w:b w:val="0"/>
          <w:caps w:val="0"/>
          <w:sz w:val="22"/>
          <w:szCs w:val="22"/>
          <w:lang w:eastAsia="en-GB"/>
        </w:rPr>
      </w:pPr>
      <w:r>
        <w:t>scope</w:t>
      </w:r>
      <w:r>
        <w:tab/>
      </w:r>
      <w:r>
        <w:rPr>
          <w:color w:val="2B579A"/>
          <w:shd w:val="clear" w:color="auto" w:fill="E6E6E6"/>
        </w:rPr>
        <w:fldChar w:fldCharType="begin"/>
      </w:r>
      <w:r>
        <w:instrText xml:space="preserve"> PAGEREF _Toc116910369 \h </w:instrText>
      </w:r>
      <w:r>
        <w:rPr>
          <w:color w:val="2B579A"/>
          <w:shd w:val="clear" w:color="auto" w:fill="E6E6E6"/>
        </w:rPr>
      </w:r>
      <w:r>
        <w:rPr>
          <w:color w:val="2B579A"/>
          <w:shd w:val="clear" w:color="auto" w:fill="E6E6E6"/>
        </w:rPr>
        <w:fldChar w:fldCharType="separate"/>
      </w:r>
      <w:r w:rsidR="00813DEE">
        <w:t>1</w:t>
      </w:r>
      <w:r>
        <w:rPr>
          <w:color w:val="2B579A"/>
          <w:shd w:val="clear" w:color="auto" w:fill="E6E6E6"/>
        </w:rPr>
        <w:fldChar w:fldCharType="end"/>
      </w:r>
    </w:p>
    <w:p w14:paraId="5B56381B" w14:textId="7EEB182A"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LEGAL &amp; REGULATORY REQUIREMENTS</w:t>
      </w:r>
      <w:r>
        <w:tab/>
      </w:r>
      <w:r>
        <w:rPr>
          <w:color w:val="2B579A"/>
          <w:shd w:val="clear" w:color="auto" w:fill="E6E6E6"/>
        </w:rPr>
        <w:fldChar w:fldCharType="begin"/>
      </w:r>
      <w:r>
        <w:instrText xml:space="preserve"> PAGEREF _Toc116910370 \h </w:instrText>
      </w:r>
      <w:r>
        <w:rPr>
          <w:color w:val="2B579A"/>
          <w:shd w:val="clear" w:color="auto" w:fill="E6E6E6"/>
        </w:rPr>
      </w:r>
      <w:r>
        <w:rPr>
          <w:color w:val="2B579A"/>
          <w:shd w:val="clear" w:color="auto" w:fill="E6E6E6"/>
        </w:rPr>
        <w:fldChar w:fldCharType="separate"/>
      </w:r>
      <w:r w:rsidR="00813DEE">
        <w:t>1</w:t>
      </w:r>
      <w:r>
        <w:rPr>
          <w:color w:val="2B579A"/>
          <w:shd w:val="clear" w:color="auto" w:fill="E6E6E6"/>
        </w:rPr>
        <w:fldChar w:fldCharType="end"/>
      </w:r>
    </w:p>
    <w:p w14:paraId="15B33F4D" w14:textId="6B51B17A"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definitions</w:t>
      </w:r>
      <w:r>
        <w:tab/>
      </w:r>
      <w:r>
        <w:rPr>
          <w:color w:val="2B579A"/>
          <w:shd w:val="clear" w:color="auto" w:fill="E6E6E6"/>
        </w:rPr>
        <w:fldChar w:fldCharType="begin"/>
      </w:r>
      <w:r>
        <w:instrText xml:space="preserve"> PAGEREF _Toc116910371 \h </w:instrText>
      </w:r>
      <w:r>
        <w:rPr>
          <w:color w:val="2B579A"/>
          <w:shd w:val="clear" w:color="auto" w:fill="E6E6E6"/>
        </w:rPr>
      </w:r>
      <w:r>
        <w:rPr>
          <w:color w:val="2B579A"/>
          <w:shd w:val="clear" w:color="auto" w:fill="E6E6E6"/>
        </w:rPr>
        <w:fldChar w:fldCharType="separate"/>
      </w:r>
      <w:r w:rsidR="00813DEE">
        <w:t>2</w:t>
      </w:r>
      <w:r>
        <w:rPr>
          <w:color w:val="2B579A"/>
          <w:shd w:val="clear" w:color="auto" w:fill="E6E6E6"/>
        </w:rPr>
        <w:fldChar w:fldCharType="end"/>
      </w:r>
    </w:p>
    <w:p w14:paraId="18901822" w14:textId="3A023E65"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OUR POLICY</w:t>
      </w:r>
      <w:r>
        <w:tab/>
      </w:r>
      <w:r>
        <w:rPr>
          <w:color w:val="2B579A"/>
          <w:shd w:val="clear" w:color="auto" w:fill="E6E6E6"/>
        </w:rPr>
        <w:fldChar w:fldCharType="begin"/>
      </w:r>
      <w:r>
        <w:instrText xml:space="preserve"> PAGEREF _Toc116910372 \h </w:instrText>
      </w:r>
      <w:r>
        <w:rPr>
          <w:color w:val="2B579A"/>
          <w:shd w:val="clear" w:color="auto" w:fill="E6E6E6"/>
        </w:rPr>
      </w:r>
      <w:r>
        <w:rPr>
          <w:color w:val="2B579A"/>
          <w:shd w:val="clear" w:color="auto" w:fill="E6E6E6"/>
        </w:rPr>
        <w:fldChar w:fldCharType="separate"/>
      </w:r>
      <w:r w:rsidR="00813DEE">
        <w:t>2</w:t>
      </w:r>
      <w:r>
        <w:rPr>
          <w:color w:val="2B579A"/>
          <w:shd w:val="clear" w:color="auto" w:fill="E6E6E6"/>
        </w:rPr>
        <w:fldChar w:fldCharType="end"/>
      </w:r>
    </w:p>
    <w:p w14:paraId="6AFA9BCD" w14:textId="0D96371D"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EQUALITY, DIVERSITY &amp; INCLUSION</w:t>
      </w:r>
      <w:r>
        <w:tab/>
      </w:r>
      <w:r>
        <w:rPr>
          <w:color w:val="2B579A"/>
          <w:shd w:val="clear" w:color="auto" w:fill="E6E6E6"/>
        </w:rPr>
        <w:fldChar w:fldCharType="begin"/>
      </w:r>
      <w:r>
        <w:instrText xml:space="preserve"> PAGEREF _Toc116910373 \h </w:instrText>
      </w:r>
      <w:r>
        <w:rPr>
          <w:color w:val="2B579A"/>
          <w:shd w:val="clear" w:color="auto" w:fill="E6E6E6"/>
        </w:rPr>
      </w:r>
      <w:r>
        <w:rPr>
          <w:color w:val="2B579A"/>
          <w:shd w:val="clear" w:color="auto" w:fill="E6E6E6"/>
        </w:rPr>
        <w:fldChar w:fldCharType="separate"/>
      </w:r>
      <w:r w:rsidR="00813DEE">
        <w:t>5</w:t>
      </w:r>
      <w:r>
        <w:rPr>
          <w:color w:val="2B579A"/>
          <w:shd w:val="clear" w:color="auto" w:fill="E6E6E6"/>
        </w:rPr>
        <w:fldChar w:fldCharType="end"/>
      </w:r>
    </w:p>
    <w:p w14:paraId="2B38044E" w14:textId="12004D5D" w:rsidR="007B06DD" w:rsidRDefault="007B06DD">
      <w:pPr>
        <w:pStyle w:val="TOC1"/>
        <w:rPr>
          <w:rFonts w:asciiTheme="minorHAnsi" w:eastAsiaTheme="minorEastAsia" w:hAnsiTheme="minorHAnsi" w:cstheme="minorBidi"/>
          <w:b w:val="0"/>
          <w:caps w:val="0"/>
          <w:sz w:val="22"/>
          <w:szCs w:val="22"/>
          <w:lang w:eastAsia="en-GB"/>
        </w:rPr>
      </w:pPr>
      <w:r>
        <w:t>RESPONSIBILITIES</w:t>
      </w:r>
      <w:r>
        <w:tab/>
      </w:r>
      <w:r>
        <w:rPr>
          <w:color w:val="2B579A"/>
          <w:shd w:val="clear" w:color="auto" w:fill="E6E6E6"/>
        </w:rPr>
        <w:fldChar w:fldCharType="begin"/>
      </w:r>
      <w:r>
        <w:instrText xml:space="preserve"> PAGEREF _Toc116910374 \h </w:instrText>
      </w:r>
      <w:r>
        <w:rPr>
          <w:color w:val="2B579A"/>
          <w:shd w:val="clear" w:color="auto" w:fill="E6E6E6"/>
        </w:rPr>
      </w:r>
      <w:r>
        <w:rPr>
          <w:color w:val="2B579A"/>
          <w:shd w:val="clear" w:color="auto" w:fill="E6E6E6"/>
        </w:rPr>
        <w:fldChar w:fldCharType="separate"/>
      </w:r>
      <w:r w:rsidR="00813DEE">
        <w:t>5</w:t>
      </w:r>
      <w:r>
        <w:rPr>
          <w:color w:val="2B579A"/>
          <w:shd w:val="clear" w:color="auto" w:fill="E6E6E6"/>
        </w:rPr>
        <w:fldChar w:fldCharType="end"/>
      </w:r>
    </w:p>
    <w:p w14:paraId="1F09EF7E" w14:textId="375EB8C1"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MONITORING AND REPORTING</w:t>
      </w:r>
      <w:r>
        <w:tab/>
      </w:r>
      <w:r>
        <w:rPr>
          <w:color w:val="2B579A"/>
          <w:shd w:val="clear" w:color="auto" w:fill="E6E6E6"/>
        </w:rPr>
        <w:fldChar w:fldCharType="begin"/>
      </w:r>
      <w:r>
        <w:instrText xml:space="preserve"> PAGEREF _Toc116910375 \h </w:instrText>
      </w:r>
      <w:r>
        <w:rPr>
          <w:color w:val="2B579A"/>
          <w:shd w:val="clear" w:color="auto" w:fill="E6E6E6"/>
        </w:rPr>
      </w:r>
      <w:r>
        <w:rPr>
          <w:color w:val="2B579A"/>
          <w:shd w:val="clear" w:color="auto" w:fill="E6E6E6"/>
        </w:rPr>
        <w:fldChar w:fldCharType="separate"/>
      </w:r>
      <w:r w:rsidR="00813DEE">
        <w:t>6</w:t>
      </w:r>
      <w:r>
        <w:rPr>
          <w:color w:val="2B579A"/>
          <w:shd w:val="clear" w:color="auto" w:fill="E6E6E6"/>
        </w:rPr>
        <w:fldChar w:fldCharType="end"/>
      </w:r>
    </w:p>
    <w:p w14:paraId="5B356F5E" w14:textId="57DE98D6"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CONSULTATION</w:t>
      </w:r>
      <w:r>
        <w:tab/>
      </w:r>
      <w:r>
        <w:rPr>
          <w:color w:val="2B579A"/>
          <w:shd w:val="clear" w:color="auto" w:fill="E6E6E6"/>
        </w:rPr>
        <w:fldChar w:fldCharType="begin"/>
      </w:r>
      <w:r>
        <w:instrText xml:space="preserve"> PAGEREF _Toc116910376 \h </w:instrText>
      </w:r>
      <w:r>
        <w:rPr>
          <w:color w:val="2B579A"/>
          <w:shd w:val="clear" w:color="auto" w:fill="E6E6E6"/>
        </w:rPr>
      </w:r>
      <w:r>
        <w:rPr>
          <w:color w:val="2B579A"/>
          <w:shd w:val="clear" w:color="auto" w:fill="E6E6E6"/>
        </w:rPr>
        <w:fldChar w:fldCharType="separate"/>
      </w:r>
      <w:r w:rsidR="00813DEE">
        <w:t>6</w:t>
      </w:r>
      <w:r>
        <w:rPr>
          <w:color w:val="2B579A"/>
          <w:shd w:val="clear" w:color="auto" w:fill="E6E6E6"/>
        </w:rPr>
        <w:fldChar w:fldCharType="end"/>
      </w:r>
    </w:p>
    <w:p w14:paraId="2BFE44A3" w14:textId="602EA9FE"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REVIEW</w:t>
      </w:r>
      <w:r>
        <w:tab/>
      </w:r>
      <w:r>
        <w:rPr>
          <w:color w:val="2B579A"/>
          <w:shd w:val="clear" w:color="auto" w:fill="E6E6E6"/>
        </w:rPr>
        <w:fldChar w:fldCharType="begin"/>
      </w:r>
      <w:r>
        <w:instrText xml:space="preserve"> PAGEREF _Toc116910377 \h </w:instrText>
      </w:r>
      <w:r>
        <w:rPr>
          <w:color w:val="2B579A"/>
          <w:shd w:val="clear" w:color="auto" w:fill="E6E6E6"/>
        </w:rPr>
      </w:r>
      <w:r>
        <w:rPr>
          <w:color w:val="2B579A"/>
          <w:shd w:val="clear" w:color="auto" w:fill="E6E6E6"/>
        </w:rPr>
        <w:fldChar w:fldCharType="separate"/>
      </w:r>
      <w:r w:rsidR="00813DEE">
        <w:t>6</w:t>
      </w:r>
      <w:r>
        <w:rPr>
          <w:color w:val="2B579A"/>
          <w:shd w:val="clear" w:color="auto" w:fill="E6E6E6"/>
        </w:rPr>
        <w:fldChar w:fldCharType="end"/>
      </w:r>
    </w:p>
    <w:p w14:paraId="549BF2BC" w14:textId="196360D5" w:rsidR="007B06DD" w:rsidRDefault="007B06DD">
      <w:pPr>
        <w:pStyle w:val="TOC1"/>
        <w:rPr>
          <w:rFonts w:asciiTheme="minorHAnsi" w:eastAsiaTheme="minorEastAsia" w:hAnsiTheme="minorHAnsi" w:cstheme="minorBidi"/>
          <w:b w:val="0"/>
          <w:caps w:val="0"/>
          <w:sz w:val="22"/>
          <w:szCs w:val="22"/>
          <w:lang w:eastAsia="en-GB"/>
        </w:rPr>
      </w:pPr>
      <w:r>
        <w:t>ASSOCIATED DOCUMENTS</w:t>
      </w:r>
      <w:r>
        <w:tab/>
      </w:r>
      <w:r>
        <w:rPr>
          <w:color w:val="2B579A"/>
          <w:shd w:val="clear" w:color="auto" w:fill="E6E6E6"/>
        </w:rPr>
        <w:fldChar w:fldCharType="begin"/>
      </w:r>
      <w:r>
        <w:instrText xml:space="preserve"> PAGEREF _Toc116910378 \h </w:instrText>
      </w:r>
      <w:r>
        <w:rPr>
          <w:color w:val="2B579A"/>
          <w:shd w:val="clear" w:color="auto" w:fill="E6E6E6"/>
        </w:rPr>
      </w:r>
      <w:r>
        <w:rPr>
          <w:color w:val="2B579A"/>
          <w:shd w:val="clear" w:color="auto" w:fill="E6E6E6"/>
        </w:rPr>
        <w:fldChar w:fldCharType="separate"/>
      </w:r>
      <w:r w:rsidR="00813DEE">
        <w:t>6</w:t>
      </w:r>
      <w:r>
        <w:rPr>
          <w:color w:val="2B579A"/>
          <w:shd w:val="clear" w:color="auto" w:fill="E6E6E6"/>
        </w:rPr>
        <w:fldChar w:fldCharType="end"/>
      </w:r>
    </w:p>
    <w:p w14:paraId="7DBC081C" w14:textId="06BD693C" w:rsidR="007B06DD" w:rsidRDefault="007B06DD">
      <w:pPr>
        <w:pStyle w:val="TOC1"/>
        <w:rPr>
          <w:rFonts w:asciiTheme="minorHAnsi" w:eastAsiaTheme="minorEastAsia" w:hAnsiTheme="minorHAnsi" w:cstheme="minorBidi"/>
          <w:b w:val="0"/>
          <w:caps w:val="0"/>
          <w:sz w:val="22"/>
          <w:szCs w:val="22"/>
          <w:lang w:eastAsia="en-GB"/>
        </w:rPr>
      </w:pPr>
      <w:r>
        <w:t>POLICY INFORMATION</w:t>
      </w:r>
      <w:r>
        <w:tab/>
      </w:r>
      <w:r>
        <w:rPr>
          <w:color w:val="2B579A"/>
          <w:shd w:val="clear" w:color="auto" w:fill="E6E6E6"/>
        </w:rPr>
        <w:fldChar w:fldCharType="begin"/>
      </w:r>
      <w:r>
        <w:instrText xml:space="preserve"> PAGEREF _Toc116910379 \h </w:instrText>
      </w:r>
      <w:r>
        <w:rPr>
          <w:color w:val="2B579A"/>
          <w:shd w:val="clear" w:color="auto" w:fill="E6E6E6"/>
        </w:rPr>
      </w:r>
      <w:r>
        <w:rPr>
          <w:color w:val="2B579A"/>
          <w:shd w:val="clear" w:color="auto" w:fill="E6E6E6"/>
        </w:rPr>
        <w:fldChar w:fldCharType="separate"/>
      </w:r>
      <w:r w:rsidR="00813DEE">
        <w:t>7</w:t>
      </w:r>
      <w:r>
        <w:rPr>
          <w:color w:val="2B579A"/>
          <w:shd w:val="clear" w:color="auto" w:fill="E6E6E6"/>
        </w:rPr>
        <w:fldChar w:fldCharType="end"/>
      </w:r>
    </w:p>
    <w:p w14:paraId="66F914F8" w14:textId="31901701" w:rsidR="000114C6" w:rsidRDefault="00D966BD" w:rsidP="00E3112F">
      <w:pPr>
        <w:pStyle w:val="TOC1"/>
        <w:numPr>
          <w:ilvl w:val="0"/>
          <w:numId w:val="0"/>
        </w:numPr>
        <w:ind w:left="357"/>
      </w:pPr>
      <w:r>
        <w:rPr>
          <w:rFonts w:eastAsia="Times New Roman" w:cs="Arial"/>
          <w:color w:val="2B579A"/>
          <w:szCs w:val="20"/>
          <w:shd w:val="clear" w:color="auto" w:fill="E6E6E6"/>
        </w:rPr>
        <w:fldChar w:fldCharType="end"/>
      </w:r>
    </w:p>
    <w:p w14:paraId="7CA65830" w14:textId="77777777" w:rsidR="00E3112F" w:rsidRDefault="00E3112F" w:rsidP="00E3112F"/>
    <w:p w14:paraId="1492316F" w14:textId="77777777" w:rsidR="00E3112F" w:rsidRDefault="00E3112F" w:rsidP="00D966BD">
      <w:pPr>
        <w:pStyle w:val="ListBullet1"/>
        <w:numPr>
          <w:ilvl w:val="0"/>
          <w:numId w:val="0"/>
        </w:numPr>
        <w:ind w:left="714"/>
      </w:pPr>
    </w:p>
    <w:p w14:paraId="477F3CE0" w14:textId="77777777" w:rsidR="00E3112F" w:rsidRDefault="00E3112F" w:rsidP="00E3112F"/>
    <w:p w14:paraId="774F3723" w14:textId="77777777" w:rsidR="00E3112F" w:rsidRDefault="00E3112F" w:rsidP="00E3112F"/>
    <w:p w14:paraId="35032AC8" w14:textId="77777777" w:rsidR="00E3112F" w:rsidRDefault="00E3112F" w:rsidP="00E3112F"/>
    <w:p w14:paraId="558D183E" w14:textId="77777777" w:rsidR="00E3112F" w:rsidRPr="00E3112F" w:rsidRDefault="00E3112F" w:rsidP="00E3112F"/>
    <w:p w14:paraId="20E7D758" w14:textId="77777777" w:rsidR="000114C6" w:rsidRDefault="000114C6" w:rsidP="003C1B99">
      <w:pPr>
        <w:pStyle w:val="TOC1"/>
        <w:sectPr w:rsidR="000114C6" w:rsidSect="005927A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16"/>
      </w:tblGrid>
      <w:tr w:rsidR="0093600A" w:rsidRPr="007D0DCD" w14:paraId="3E8B33FB" w14:textId="77777777" w:rsidTr="05EFFE67">
        <w:trPr>
          <w:trHeight w:hRule="exact" w:val="20"/>
        </w:trPr>
        <w:tc>
          <w:tcPr>
            <w:tcW w:w="817" w:type="dxa"/>
            <w:tcBorders>
              <w:bottom w:val="nil"/>
            </w:tcBorders>
          </w:tcPr>
          <w:p w14:paraId="793D161E" w14:textId="77777777" w:rsidR="0093600A" w:rsidRDefault="0093600A">
            <w:pPr>
              <w:rPr>
                <w:sz w:val="2"/>
              </w:r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Borders>
              <w:bottom w:val="nil"/>
            </w:tcBorders>
          </w:tcPr>
          <w:p w14:paraId="37868438" w14:textId="77777777" w:rsidR="0093600A" w:rsidRDefault="0093600A">
            <w:pPr>
              <w:rPr>
                <w:sz w:val="2"/>
              </w:rPr>
            </w:pPr>
          </w:p>
        </w:tc>
      </w:tr>
      <w:tr w:rsidR="0093600A" w:rsidRPr="007D0DCD" w14:paraId="2DFE7376" w14:textId="77777777" w:rsidTr="05EFFE67">
        <w:tc>
          <w:tcPr>
            <w:tcW w:w="817" w:type="dxa"/>
            <w:tcBorders>
              <w:top w:val="nil"/>
              <w:left w:val="nil"/>
              <w:bottom w:val="nil"/>
              <w:right w:val="nil"/>
            </w:tcBorders>
          </w:tcPr>
          <w:p w14:paraId="7D5603A4" w14:textId="77777777" w:rsidR="0093600A" w:rsidRPr="003C1B99" w:rsidRDefault="0093600A" w:rsidP="0093600A">
            <w:pPr>
              <w:pStyle w:val="ListParagraph"/>
              <w:numPr>
                <w:ilvl w:val="0"/>
                <w:numId w:val="5"/>
              </w:numPr>
            </w:pPr>
          </w:p>
        </w:tc>
        <w:tc>
          <w:tcPr>
            <w:tcW w:w="8816" w:type="dxa"/>
            <w:tcBorders>
              <w:top w:val="nil"/>
              <w:left w:val="nil"/>
              <w:bottom w:val="nil"/>
              <w:right w:val="nil"/>
            </w:tcBorders>
          </w:tcPr>
          <w:p w14:paraId="67D69426" w14:textId="51E9319F" w:rsidR="0093600A" w:rsidRPr="0081585A" w:rsidRDefault="0093600A" w:rsidP="00601BEC">
            <w:pPr>
              <w:pStyle w:val="Heading1"/>
            </w:pPr>
            <w:bookmarkStart w:id="5" w:name="_Toc476208626"/>
            <w:bookmarkStart w:id="6" w:name="_Toc116910368"/>
            <w:r w:rsidRPr="00601BEC">
              <w:t>INTRODUCTION</w:t>
            </w:r>
            <w:bookmarkEnd w:id="5"/>
            <w:bookmarkEnd w:id="6"/>
            <w:r w:rsidR="00247C6B">
              <w:t xml:space="preserve"> </w:t>
            </w:r>
          </w:p>
        </w:tc>
      </w:tr>
      <w:tr w:rsidR="00B41462" w:rsidRPr="007D0DCD" w14:paraId="346E1BFD" w14:textId="77777777" w:rsidTr="05EFFE67">
        <w:tc>
          <w:tcPr>
            <w:tcW w:w="817" w:type="dxa"/>
            <w:tcBorders>
              <w:top w:val="nil"/>
              <w:left w:val="nil"/>
              <w:bottom w:val="nil"/>
              <w:right w:val="nil"/>
            </w:tcBorders>
          </w:tcPr>
          <w:p w14:paraId="31BBC2DD" w14:textId="77777777" w:rsidR="00B41462" w:rsidRPr="007D0DCD" w:rsidRDefault="00B41462" w:rsidP="0093600A">
            <w:pPr>
              <w:rPr>
                <w:rFonts w:ascii="Calibri" w:eastAsia="Times New Roman" w:hAnsi="Calibri" w:cs="Arial"/>
                <w:szCs w:val="20"/>
                <w:lang w:eastAsia="en-GB"/>
              </w:rPr>
            </w:pPr>
          </w:p>
        </w:tc>
        <w:tc>
          <w:tcPr>
            <w:tcW w:w="8816" w:type="dxa"/>
            <w:tcBorders>
              <w:top w:val="nil"/>
              <w:left w:val="nil"/>
              <w:bottom w:val="nil"/>
              <w:right w:val="nil"/>
            </w:tcBorders>
          </w:tcPr>
          <w:p w14:paraId="0B2F6624" w14:textId="77777777" w:rsidR="00B41462" w:rsidRPr="00A064EB" w:rsidRDefault="00B41462" w:rsidP="00247C6B">
            <w:pPr>
              <w:rPr>
                <w:i/>
                <w:iCs/>
                <w:color w:val="FF0000"/>
                <w:lang w:val="en-US"/>
              </w:rPr>
            </w:pPr>
          </w:p>
        </w:tc>
      </w:tr>
      <w:tr w:rsidR="0093600A" w:rsidRPr="007D0DCD" w14:paraId="77D9890F" w14:textId="77777777" w:rsidTr="05EFFE67">
        <w:tc>
          <w:tcPr>
            <w:tcW w:w="817" w:type="dxa"/>
            <w:tcBorders>
              <w:top w:val="nil"/>
              <w:left w:val="nil"/>
              <w:bottom w:val="nil"/>
              <w:right w:val="nil"/>
            </w:tcBorders>
          </w:tcPr>
          <w:p w14:paraId="1E70D9CA" w14:textId="77777777" w:rsidR="0093600A" w:rsidRPr="003C1B99" w:rsidRDefault="0093600A" w:rsidP="0093600A">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6A5FCA1C" w14:textId="4AF500BF" w:rsidR="0093600A" w:rsidRPr="007D0DCD" w:rsidRDefault="00AA2694" w:rsidP="00DD6A8A">
            <w:pPr>
              <w:rPr>
                <w:lang w:eastAsia="en-GB"/>
              </w:rPr>
            </w:pPr>
            <w:r>
              <w:t>This document outlines the Trust’s policy for dealing with tenancy fraud. The aim of the policy is to outline how we will prevent and tackle tenancy fraud within our housing stock by investigating all reports of fraud and taking reasonable steps to ensure this is prevented.</w:t>
            </w:r>
          </w:p>
        </w:tc>
      </w:tr>
      <w:tr w:rsidR="0093600A" w:rsidRPr="007D0DCD" w14:paraId="0277B2CF" w14:textId="77777777" w:rsidTr="05EFFE67">
        <w:tc>
          <w:tcPr>
            <w:tcW w:w="817" w:type="dxa"/>
            <w:tcBorders>
              <w:top w:val="nil"/>
              <w:left w:val="nil"/>
              <w:bottom w:val="nil"/>
              <w:right w:val="nil"/>
            </w:tcBorders>
          </w:tcPr>
          <w:p w14:paraId="6F6BEC13"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A4C76D6" w14:textId="77777777" w:rsidR="0093600A" w:rsidRPr="007D0DCD" w:rsidRDefault="0093600A" w:rsidP="0093600A">
            <w:pPr>
              <w:rPr>
                <w:rFonts w:ascii="Calibri" w:eastAsia="Times New Roman" w:hAnsi="Calibri" w:cs="Arial"/>
                <w:szCs w:val="20"/>
                <w:lang w:eastAsia="en-GB"/>
              </w:rPr>
            </w:pPr>
          </w:p>
        </w:tc>
      </w:tr>
      <w:tr w:rsidR="0093600A" w:rsidRPr="007D0DCD" w14:paraId="2F306CE0" w14:textId="77777777" w:rsidTr="05EFFE67">
        <w:tc>
          <w:tcPr>
            <w:tcW w:w="817" w:type="dxa"/>
            <w:tcBorders>
              <w:top w:val="nil"/>
              <w:left w:val="nil"/>
              <w:bottom w:val="nil"/>
              <w:right w:val="nil"/>
            </w:tcBorders>
          </w:tcPr>
          <w:p w14:paraId="4513521E"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6C131C7" w14:textId="77777777" w:rsidR="00AA2694" w:rsidRPr="00EC655D" w:rsidRDefault="00AA2694" w:rsidP="00AA2694">
            <w:r w:rsidRPr="00EC655D">
              <w:t>This will be achieved by focussing on the main ways in which tenancy fraud is committed:</w:t>
            </w:r>
          </w:p>
          <w:p w14:paraId="1C9F9DC6" w14:textId="77777777" w:rsidR="00AA2694" w:rsidRPr="00EC655D" w:rsidRDefault="00AA2694" w:rsidP="00AA2694"/>
          <w:p w14:paraId="32747FC9" w14:textId="77777777" w:rsidR="00AA2694" w:rsidRDefault="00AA2694" w:rsidP="00AA2694">
            <w:pPr>
              <w:pStyle w:val="ListParagraph"/>
              <w:numPr>
                <w:ilvl w:val="0"/>
                <w:numId w:val="22"/>
              </w:numPr>
              <w:rPr>
                <w:rFonts w:asciiTheme="minorHAnsi" w:hAnsiTheme="minorHAnsi"/>
                <w:b w:val="0"/>
                <w:color w:val="auto"/>
              </w:rPr>
            </w:pPr>
            <w:r w:rsidRPr="00EC655D">
              <w:rPr>
                <w:rFonts w:asciiTheme="minorHAnsi" w:hAnsiTheme="minorHAnsi"/>
                <w:b w:val="0"/>
                <w:color w:val="auto"/>
              </w:rPr>
              <w:t>Unauthorised Subletting</w:t>
            </w:r>
          </w:p>
          <w:p w14:paraId="3A57071B" w14:textId="77777777" w:rsidR="00AA2694" w:rsidRPr="009E3D05" w:rsidRDefault="00AA2694" w:rsidP="00AA2694">
            <w:pPr>
              <w:pStyle w:val="ListParagraph"/>
              <w:numPr>
                <w:ilvl w:val="0"/>
                <w:numId w:val="22"/>
              </w:numPr>
              <w:rPr>
                <w:rFonts w:asciiTheme="minorHAnsi" w:hAnsiTheme="minorHAnsi"/>
                <w:b w:val="0"/>
                <w:color w:val="auto"/>
              </w:rPr>
            </w:pPr>
            <w:r w:rsidRPr="009E3D05">
              <w:rPr>
                <w:rFonts w:asciiTheme="minorHAnsi" w:hAnsiTheme="minorHAnsi"/>
                <w:b w:val="0"/>
                <w:color w:val="auto"/>
              </w:rPr>
              <w:t>Fraudulently Obtaining Social Housing</w:t>
            </w:r>
          </w:p>
          <w:p w14:paraId="37B85C6B" w14:textId="77777777" w:rsidR="00AA2694" w:rsidRPr="009E3D05" w:rsidRDefault="00AA2694" w:rsidP="00AA2694">
            <w:pPr>
              <w:pStyle w:val="ListParagraph"/>
              <w:numPr>
                <w:ilvl w:val="0"/>
                <w:numId w:val="22"/>
              </w:numPr>
              <w:rPr>
                <w:rFonts w:asciiTheme="minorHAnsi" w:hAnsiTheme="minorHAnsi"/>
                <w:b w:val="0"/>
                <w:color w:val="auto"/>
              </w:rPr>
            </w:pPr>
            <w:r w:rsidRPr="009E3D05">
              <w:rPr>
                <w:rFonts w:asciiTheme="minorHAnsi" w:hAnsiTheme="minorHAnsi"/>
                <w:b w:val="0"/>
                <w:color w:val="auto"/>
              </w:rPr>
              <w:t>Succession by deception</w:t>
            </w:r>
          </w:p>
          <w:p w14:paraId="36BE44E5" w14:textId="77777777" w:rsidR="00AA2694" w:rsidRPr="00EC655D" w:rsidRDefault="00AA2694" w:rsidP="00AA2694">
            <w:pPr>
              <w:pStyle w:val="ListParagraph"/>
              <w:numPr>
                <w:ilvl w:val="0"/>
                <w:numId w:val="22"/>
              </w:numPr>
              <w:rPr>
                <w:rFonts w:asciiTheme="minorHAnsi" w:hAnsiTheme="minorHAnsi"/>
                <w:b w:val="0"/>
                <w:color w:val="auto"/>
              </w:rPr>
            </w:pPr>
            <w:r w:rsidRPr="00EC655D">
              <w:rPr>
                <w:rFonts w:asciiTheme="minorHAnsi" w:hAnsiTheme="minorHAnsi"/>
                <w:b w:val="0"/>
                <w:color w:val="auto"/>
              </w:rPr>
              <w:t>Non-occupation</w:t>
            </w:r>
          </w:p>
          <w:p w14:paraId="3C65DEBB" w14:textId="77777777" w:rsidR="00AA2694" w:rsidRPr="00EC655D" w:rsidRDefault="00AA2694" w:rsidP="00AA2694">
            <w:pPr>
              <w:pStyle w:val="ListParagraph"/>
              <w:numPr>
                <w:ilvl w:val="0"/>
                <w:numId w:val="22"/>
              </w:numPr>
              <w:rPr>
                <w:rFonts w:asciiTheme="minorHAnsi" w:hAnsiTheme="minorHAnsi"/>
                <w:b w:val="0"/>
                <w:color w:val="auto"/>
              </w:rPr>
            </w:pPr>
            <w:r w:rsidRPr="00EC655D">
              <w:rPr>
                <w:rFonts w:asciiTheme="minorHAnsi" w:hAnsiTheme="minorHAnsi"/>
                <w:b w:val="0"/>
                <w:color w:val="auto"/>
              </w:rPr>
              <w:t>Key Selling</w:t>
            </w:r>
          </w:p>
          <w:p w14:paraId="2B1E8819" w14:textId="77777777" w:rsidR="00AA2694" w:rsidRDefault="00AA2694" w:rsidP="00AA2694">
            <w:pPr>
              <w:pStyle w:val="ListParagraph"/>
              <w:numPr>
                <w:ilvl w:val="0"/>
                <w:numId w:val="22"/>
              </w:numPr>
              <w:rPr>
                <w:rFonts w:asciiTheme="minorHAnsi" w:hAnsiTheme="minorHAnsi"/>
                <w:b w:val="0"/>
                <w:color w:val="auto"/>
              </w:rPr>
            </w:pPr>
            <w:r w:rsidRPr="00EC655D">
              <w:rPr>
                <w:rFonts w:asciiTheme="minorHAnsi" w:hAnsiTheme="minorHAnsi"/>
                <w:b w:val="0"/>
                <w:color w:val="auto"/>
              </w:rPr>
              <w:t>Unauthorised Exchange and Assignment</w:t>
            </w:r>
          </w:p>
          <w:p w14:paraId="4D57EA98" w14:textId="77777777" w:rsidR="00AA2694" w:rsidRDefault="00AA2694" w:rsidP="00AA2694">
            <w:pPr>
              <w:pStyle w:val="ListParagraph"/>
              <w:numPr>
                <w:ilvl w:val="0"/>
                <w:numId w:val="22"/>
              </w:numPr>
              <w:rPr>
                <w:rFonts w:asciiTheme="minorHAnsi" w:hAnsiTheme="minorHAnsi"/>
                <w:b w:val="0"/>
                <w:color w:val="auto"/>
              </w:rPr>
            </w:pPr>
            <w:r>
              <w:rPr>
                <w:rFonts w:asciiTheme="minorHAnsi" w:hAnsiTheme="minorHAnsi"/>
                <w:b w:val="0"/>
                <w:color w:val="auto"/>
              </w:rPr>
              <w:t>Right to Buy fraud</w:t>
            </w:r>
          </w:p>
          <w:p w14:paraId="55B02B0A" w14:textId="26EAA1C8" w:rsidR="005144D0" w:rsidRDefault="005144D0" w:rsidP="00AA2694">
            <w:pPr>
              <w:pStyle w:val="ListParagraph"/>
              <w:numPr>
                <w:ilvl w:val="0"/>
                <w:numId w:val="22"/>
              </w:numPr>
              <w:rPr>
                <w:rFonts w:asciiTheme="minorHAnsi" w:hAnsiTheme="minorHAnsi"/>
                <w:b w:val="0"/>
                <w:color w:val="auto"/>
              </w:rPr>
            </w:pPr>
            <w:r>
              <w:rPr>
                <w:rFonts w:asciiTheme="minorHAnsi" w:hAnsiTheme="minorHAnsi"/>
                <w:b w:val="0"/>
                <w:color w:val="auto"/>
              </w:rPr>
              <w:t>Right to Acquire fraud</w:t>
            </w:r>
          </w:p>
          <w:p w14:paraId="1142151B" w14:textId="6E14B566" w:rsidR="0093600A" w:rsidRPr="000847E0" w:rsidRDefault="00AA2694" w:rsidP="0093600A">
            <w:pPr>
              <w:pStyle w:val="ListParagraph"/>
              <w:numPr>
                <w:ilvl w:val="0"/>
                <w:numId w:val="22"/>
              </w:numPr>
              <w:rPr>
                <w:rFonts w:asciiTheme="minorHAnsi" w:hAnsiTheme="minorHAnsi"/>
                <w:b w:val="0"/>
                <w:color w:val="auto"/>
              </w:rPr>
            </w:pPr>
            <w:r>
              <w:rPr>
                <w:rFonts w:asciiTheme="minorHAnsi" w:hAnsiTheme="minorHAnsi"/>
                <w:b w:val="0"/>
                <w:color w:val="auto"/>
              </w:rPr>
              <w:t>Benefit Frau</w:t>
            </w:r>
            <w:r w:rsidR="000847E0">
              <w:rPr>
                <w:rFonts w:asciiTheme="minorHAnsi" w:hAnsiTheme="minorHAnsi"/>
                <w:b w:val="0"/>
                <w:color w:val="auto"/>
              </w:rPr>
              <w:t>d</w:t>
            </w:r>
          </w:p>
        </w:tc>
      </w:tr>
      <w:tr w:rsidR="0093600A" w:rsidRPr="007D0DCD" w14:paraId="7F97C729" w14:textId="77777777" w:rsidTr="05EFFE67">
        <w:tc>
          <w:tcPr>
            <w:tcW w:w="817" w:type="dxa"/>
            <w:tcBorders>
              <w:top w:val="nil"/>
              <w:left w:val="nil"/>
              <w:bottom w:val="nil"/>
              <w:right w:val="nil"/>
            </w:tcBorders>
          </w:tcPr>
          <w:p w14:paraId="6FCD8C76"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B9288D2" w14:textId="77777777" w:rsidR="0093600A" w:rsidRPr="007D0DCD" w:rsidRDefault="0093600A" w:rsidP="0093600A">
            <w:pPr>
              <w:rPr>
                <w:rFonts w:ascii="Calibri" w:eastAsia="Times New Roman" w:hAnsi="Calibri" w:cs="Arial"/>
                <w:szCs w:val="20"/>
                <w:lang w:eastAsia="en-GB"/>
              </w:rPr>
            </w:pPr>
          </w:p>
        </w:tc>
      </w:tr>
      <w:tr w:rsidR="0093600A" w:rsidRPr="007D0DCD" w14:paraId="14094D75" w14:textId="77777777" w:rsidTr="05EFFE67">
        <w:tc>
          <w:tcPr>
            <w:tcW w:w="817" w:type="dxa"/>
            <w:tcBorders>
              <w:top w:val="nil"/>
              <w:left w:val="nil"/>
              <w:bottom w:val="nil"/>
              <w:right w:val="nil"/>
            </w:tcBorders>
          </w:tcPr>
          <w:p w14:paraId="0BE75162" w14:textId="77777777" w:rsidR="0093600A" w:rsidRPr="005927A0" w:rsidRDefault="0093600A" w:rsidP="0093600A">
            <w:pPr>
              <w:pStyle w:val="ListParagraph"/>
              <w:numPr>
                <w:ilvl w:val="0"/>
                <w:numId w:val="5"/>
              </w:numPr>
            </w:pPr>
            <w:bookmarkStart w:id="7" w:name="_Toc476208627"/>
            <w:bookmarkEnd w:id="7"/>
          </w:p>
        </w:tc>
        <w:tc>
          <w:tcPr>
            <w:tcW w:w="8816" w:type="dxa"/>
            <w:tcBorders>
              <w:top w:val="nil"/>
              <w:left w:val="nil"/>
              <w:bottom w:val="nil"/>
              <w:right w:val="nil"/>
            </w:tcBorders>
          </w:tcPr>
          <w:p w14:paraId="4429D626" w14:textId="77777777" w:rsidR="0093600A" w:rsidRPr="009D2345" w:rsidRDefault="00E82464" w:rsidP="00601BEC">
            <w:pPr>
              <w:pStyle w:val="Heading1"/>
            </w:pPr>
            <w:bookmarkStart w:id="8" w:name="_Toc116910369"/>
            <w:r>
              <w:t>scope</w:t>
            </w:r>
            <w:bookmarkEnd w:id="8"/>
          </w:p>
        </w:tc>
      </w:tr>
      <w:tr w:rsidR="0093600A" w:rsidRPr="007D0DCD" w14:paraId="19539C6F" w14:textId="77777777" w:rsidTr="05EFFE67">
        <w:tc>
          <w:tcPr>
            <w:tcW w:w="817" w:type="dxa"/>
            <w:tcBorders>
              <w:top w:val="nil"/>
              <w:left w:val="nil"/>
              <w:bottom w:val="nil"/>
              <w:right w:val="nil"/>
            </w:tcBorders>
          </w:tcPr>
          <w:p w14:paraId="43ED4E01" w14:textId="77777777" w:rsidR="0093600A" w:rsidRPr="00EF55CC" w:rsidRDefault="0093600A" w:rsidP="0093600A">
            <w:pPr>
              <w:rPr>
                <w:lang w:eastAsia="en-GB"/>
              </w:rPr>
            </w:pPr>
          </w:p>
        </w:tc>
        <w:tc>
          <w:tcPr>
            <w:tcW w:w="8816" w:type="dxa"/>
            <w:tcBorders>
              <w:top w:val="nil"/>
              <w:left w:val="nil"/>
              <w:bottom w:val="nil"/>
              <w:right w:val="nil"/>
            </w:tcBorders>
          </w:tcPr>
          <w:p w14:paraId="01D667AA" w14:textId="1D972586" w:rsidR="007B06DD" w:rsidRPr="00A064EB" w:rsidRDefault="007B06DD" w:rsidP="0093600A">
            <w:pPr>
              <w:rPr>
                <w:i/>
                <w:iCs/>
                <w:color w:val="A6A6A6" w:themeColor="background1" w:themeShade="A6"/>
                <w:lang w:val="en-US"/>
              </w:rPr>
            </w:pPr>
          </w:p>
        </w:tc>
      </w:tr>
      <w:tr w:rsidR="0093600A" w:rsidRPr="007D0DCD" w14:paraId="2956186D" w14:textId="77777777" w:rsidTr="05EFFE67">
        <w:tc>
          <w:tcPr>
            <w:tcW w:w="817" w:type="dxa"/>
            <w:tcBorders>
              <w:top w:val="nil"/>
              <w:left w:val="nil"/>
              <w:bottom w:val="nil"/>
              <w:right w:val="nil"/>
            </w:tcBorders>
          </w:tcPr>
          <w:p w14:paraId="37A5003B"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006A0DD" w14:textId="137E5310" w:rsidR="0093600A" w:rsidRPr="007D0DCD" w:rsidRDefault="005B4317" w:rsidP="0093600A">
            <w:pPr>
              <w:rPr>
                <w:rFonts w:ascii="Calibri" w:eastAsia="Times New Roman" w:hAnsi="Calibri" w:cs="Arial"/>
                <w:szCs w:val="20"/>
                <w:lang w:eastAsia="en-GB"/>
              </w:rPr>
            </w:pPr>
            <w:r>
              <w:t>This policy sets out the approach that Peaks and Plains Housing Trust (the Trust) will take in relation to tenancy fraud.</w:t>
            </w:r>
          </w:p>
        </w:tc>
      </w:tr>
      <w:tr w:rsidR="0093600A" w:rsidRPr="007D0DCD" w14:paraId="4FBCC680" w14:textId="77777777" w:rsidTr="05EFFE67">
        <w:tc>
          <w:tcPr>
            <w:tcW w:w="817" w:type="dxa"/>
            <w:tcBorders>
              <w:top w:val="nil"/>
              <w:left w:val="nil"/>
              <w:bottom w:val="nil"/>
              <w:right w:val="nil"/>
            </w:tcBorders>
          </w:tcPr>
          <w:p w14:paraId="2BB0BBBA"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61E9EBF" w14:textId="77777777" w:rsidR="0093600A" w:rsidRPr="007D0DCD" w:rsidRDefault="0093600A" w:rsidP="0093600A">
            <w:pPr>
              <w:rPr>
                <w:rFonts w:ascii="Calibri" w:eastAsia="Times New Roman" w:hAnsi="Calibri" w:cs="Arial"/>
                <w:szCs w:val="20"/>
                <w:lang w:eastAsia="en-GB"/>
              </w:rPr>
            </w:pPr>
          </w:p>
        </w:tc>
      </w:tr>
      <w:tr w:rsidR="0093600A" w:rsidRPr="007D0DCD" w14:paraId="67B184D1" w14:textId="77777777" w:rsidTr="05EFFE67">
        <w:tc>
          <w:tcPr>
            <w:tcW w:w="817" w:type="dxa"/>
            <w:tcBorders>
              <w:top w:val="nil"/>
              <w:left w:val="nil"/>
              <w:bottom w:val="nil"/>
              <w:right w:val="nil"/>
            </w:tcBorders>
          </w:tcPr>
          <w:p w14:paraId="1817F06C"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96F237E" w14:textId="70454BAD" w:rsidR="0093600A" w:rsidRPr="007D0DCD" w:rsidRDefault="005B4317" w:rsidP="0093600A">
            <w:pPr>
              <w:rPr>
                <w:rFonts w:ascii="Calibri" w:eastAsia="Times New Roman" w:hAnsi="Calibri" w:cs="Arial"/>
                <w:szCs w:val="20"/>
                <w:lang w:eastAsia="en-GB"/>
              </w:rPr>
            </w:pPr>
            <w:r>
              <w:t>The policy applies to all members of Peaks and Plains Housing Trust (the Trust) and covers all tenures.</w:t>
            </w:r>
          </w:p>
        </w:tc>
      </w:tr>
      <w:tr w:rsidR="0093600A" w:rsidRPr="007D0DCD" w14:paraId="730641F0" w14:textId="77777777" w:rsidTr="05EFFE67">
        <w:tc>
          <w:tcPr>
            <w:tcW w:w="817" w:type="dxa"/>
            <w:tcBorders>
              <w:top w:val="nil"/>
              <w:left w:val="nil"/>
              <w:bottom w:val="nil"/>
              <w:right w:val="nil"/>
            </w:tcBorders>
          </w:tcPr>
          <w:p w14:paraId="20414348"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02BEF694" w14:textId="77777777" w:rsidR="0093600A" w:rsidRPr="007D0DCD" w:rsidRDefault="0093600A" w:rsidP="0093600A">
            <w:pPr>
              <w:rPr>
                <w:rFonts w:ascii="Calibri" w:eastAsia="Times New Roman" w:hAnsi="Calibri" w:cs="Arial"/>
                <w:szCs w:val="20"/>
                <w:lang w:eastAsia="en-GB"/>
              </w:rPr>
            </w:pPr>
          </w:p>
        </w:tc>
      </w:tr>
      <w:tr w:rsidR="0093600A" w:rsidRPr="007D0DCD" w14:paraId="24819931" w14:textId="77777777" w:rsidTr="05EFFE67">
        <w:trPr>
          <w:trHeight w:hRule="exact" w:val="340"/>
        </w:trPr>
        <w:tc>
          <w:tcPr>
            <w:tcW w:w="817" w:type="dxa"/>
            <w:tcBorders>
              <w:top w:val="nil"/>
              <w:left w:val="nil"/>
              <w:bottom w:val="nil"/>
              <w:right w:val="nil"/>
            </w:tcBorders>
          </w:tcPr>
          <w:p w14:paraId="790F2D7E" w14:textId="77777777" w:rsidR="0093600A" w:rsidRPr="005927A0" w:rsidRDefault="0093600A" w:rsidP="0093600A">
            <w:pPr>
              <w:pStyle w:val="ListParagraph"/>
              <w:numPr>
                <w:ilvl w:val="0"/>
                <w:numId w:val="5"/>
              </w:numPr>
            </w:pPr>
            <w:bookmarkStart w:id="9" w:name="_Toc476208629"/>
            <w:bookmarkEnd w:id="9"/>
          </w:p>
        </w:tc>
        <w:tc>
          <w:tcPr>
            <w:tcW w:w="8816" w:type="dxa"/>
            <w:tcBorders>
              <w:top w:val="nil"/>
              <w:left w:val="nil"/>
              <w:bottom w:val="nil"/>
              <w:right w:val="nil"/>
            </w:tcBorders>
          </w:tcPr>
          <w:p w14:paraId="09B2C85F" w14:textId="77777777" w:rsidR="0093600A" w:rsidRDefault="00E82464" w:rsidP="00601BEC">
            <w:pPr>
              <w:pStyle w:val="Heading1"/>
              <w:rPr>
                <w:lang w:val="en-US"/>
              </w:rPr>
            </w:pPr>
            <w:bookmarkStart w:id="10" w:name="_Toc116910370"/>
            <w:r w:rsidRPr="006B16FC">
              <w:rPr>
                <w:lang w:val="en-US"/>
              </w:rPr>
              <w:t>LEGAL &amp; REGULATORY REQUIREMENTS</w:t>
            </w:r>
            <w:bookmarkEnd w:id="10"/>
          </w:p>
          <w:p w14:paraId="02341E78" w14:textId="09652E6D" w:rsidR="007B06DD" w:rsidRPr="007B06DD" w:rsidRDefault="007B06DD" w:rsidP="007B06DD">
            <w:pPr>
              <w:rPr>
                <w:lang w:val="en-US"/>
              </w:rPr>
            </w:pPr>
          </w:p>
        </w:tc>
      </w:tr>
      <w:tr w:rsidR="0093600A" w:rsidRPr="007D0DCD" w14:paraId="37D8E867" w14:textId="77777777" w:rsidTr="05EFFE67">
        <w:tc>
          <w:tcPr>
            <w:tcW w:w="817" w:type="dxa"/>
            <w:tcBorders>
              <w:top w:val="nil"/>
              <w:left w:val="nil"/>
              <w:bottom w:val="nil"/>
              <w:right w:val="nil"/>
            </w:tcBorders>
          </w:tcPr>
          <w:p w14:paraId="1ADEBE1A" w14:textId="77777777" w:rsidR="0093600A" w:rsidRPr="00EF55CC" w:rsidRDefault="0093600A" w:rsidP="0093600A">
            <w:pPr>
              <w:rPr>
                <w:lang w:eastAsia="en-GB"/>
              </w:rPr>
            </w:pPr>
          </w:p>
        </w:tc>
        <w:tc>
          <w:tcPr>
            <w:tcW w:w="8816" w:type="dxa"/>
            <w:tcBorders>
              <w:top w:val="nil"/>
              <w:left w:val="nil"/>
              <w:bottom w:val="nil"/>
              <w:right w:val="nil"/>
            </w:tcBorders>
          </w:tcPr>
          <w:p w14:paraId="6E2FB8FE" w14:textId="2A458E0B" w:rsidR="007B06DD" w:rsidRPr="00B06B2A" w:rsidRDefault="0075576F" w:rsidP="0093600A">
            <w:pPr>
              <w:rPr>
                <w:b/>
                <w:bCs/>
                <w:i/>
                <w:iCs/>
                <w:color w:val="A6A6A6" w:themeColor="background1" w:themeShade="A6"/>
              </w:rPr>
            </w:pPr>
            <w:r w:rsidRPr="00B06B2A">
              <w:rPr>
                <w:b/>
                <w:bCs/>
                <w:i/>
                <w:iCs/>
                <w:color w:val="A6A6A6" w:themeColor="background1" w:themeShade="A6"/>
              </w:rPr>
              <w:t>.</w:t>
            </w:r>
          </w:p>
        </w:tc>
      </w:tr>
      <w:tr w:rsidR="0093600A" w:rsidRPr="007D0DCD" w14:paraId="10D79991" w14:textId="77777777" w:rsidTr="05EFFE67">
        <w:tc>
          <w:tcPr>
            <w:tcW w:w="817" w:type="dxa"/>
            <w:tcBorders>
              <w:top w:val="nil"/>
              <w:left w:val="nil"/>
              <w:bottom w:val="nil"/>
              <w:right w:val="nil"/>
            </w:tcBorders>
          </w:tcPr>
          <w:p w14:paraId="17588246"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1" w:name="_Ref32235445"/>
          </w:p>
        </w:tc>
        <w:bookmarkEnd w:id="11"/>
        <w:tc>
          <w:tcPr>
            <w:tcW w:w="8816" w:type="dxa"/>
            <w:tcBorders>
              <w:top w:val="nil"/>
              <w:left w:val="nil"/>
              <w:bottom w:val="nil"/>
              <w:right w:val="nil"/>
            </w:tcBorders>
          </w:tcPr>
          <w:p w14:paraId="01C2A3D8" w14:textId="77777777" w:rsidR="00E35D8C" w:rsidRDefault="00E35D8C" w:rsidP="0093600A">
            <w:r>
              <w:t xml:space="preserve">The Trust will comply with the following applicable laws and legislation: </w:t>
            </w:r>
          </w:p>
          <w:p w14:paraId="5C9579B5" w14:textId="77C642F0"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Prevention of Social Housing Fraud Act 2013 </w:t>
            </w:r>
          </w:p>
          <w:p w14:paraId="3C6996B5" w14:textId="433DB1DC"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Housing Act 1985 </w:t>
            </w:r>
          </w:p>
          <w:p w14:paraId="33B41A5C" w14:textId="1AC744F8"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Housing Act 1988 </w:t>
            </w:r>
          </w:p>
          <w:p w14:paraId="59E1A76E" w14:textId="0127F339"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Theft Act 1968 </w:t>
            </w:r>
          </w:p>
          <w:p w14:paraId="14303B68" w14:textId="79CEDEC7"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Proceeds of Crime Act 2002 </w:t>
            </w:r>
          </w:p>
          <w:p w14:paraId="20251EB9" w14:textId="7AAD88CF"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Data Protection Act 2018 </w:t>
            </w:r>
          </w:p>
          <w:p w14:paraId="00200A21" w14:textId="25BA3D2E"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Fraud Act 2006 </w:t>
            </w:r>
          </w:p>
          <w:p w14:paraId="441F8275" w14:textId="0C1125EA"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Bribery Act 2010 </w:t>
            </w:r>
          </w:p>
          <w:p w14:paraId="360D6624" w14:textId="597B706E" w:rsidR="00E35D8C"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Criminal Procedures Investigation Act 1996 </w:t>
            </w:r>
          </w:p>
          <w:p w14:paraId="1014A352" w14:textId="77777777" w:rsid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 xml:space="preserve">Public Interest Disclosure Act 1998 </w:t>
            </w:r>
          </w:p>
          <w:p w14:paraId="398A7C84" w14:textId="5E697E06" w:rsidR="0093600A" w:rsidRPr="00237822" w:rsidRDefault="00E35D8C" w:rsidP="00237822">
            <w:pPr>
              <w:pStyle w:val="ListParagraph"/>
              <w:numPr>
                <w:ilvl w:val="0"/>
                <w:numId w:val="22"/>
              </w:numPr>
              <w:rPr>
                <w:rFonts w:asciiTheme="minorHAnsi" w:hAnsiTheme="minorHAnsi"/>
                <w:b w:val="0"/>
                <w:color w:val="auto"/>
              </w:rPr>
            </w:pPr>
            <w:r w:rsidRPr="00237822">
              <w:rPr>
                <w:rFonts w:asciiTheme="minorHAnsi" w:hAnsiTheme="minorHAnsi"/>
                <w:b w:val="0"/>
                <w:color w:val="auto"/>
              </w:rPr>
              <w:t>Police and Criminal Evidence Act 1984</w:t>
            </w:r>
            <w:r>
              <w:t xml:space="preserve"> </w:t>
            </w:r>
          </w:p>
        </w:tc>
      </w:tr>
      <w:tr w:rsidR="0093600A" w:rsidRPr="007D0DCD" w14:paraId="71FEA1D1" w14:textId="77777777" w:rsidTr="05EFFE67">
        <w:tc>
          <w:tcPr>
            <w:tcW w:w="817" w:type="dxa"/>
            <w:tcBorders>
              <w:top w:val="nil"/>
              <w:left w:val="nil"/>
              <w:bottom w:val="nil"/>
              <w:right w:val="nil"/>
            </w:tcBorders>
          </w:tcPr>
          <w:p w14:paraId="3A2AF956"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DAC31C9" w14:textId="77777777" w:rsidR="0093600A" w:rsidRPr="007D0DCD" w:rsidRDefault="0093600A" w:rsidP="0093600A">
            <w:pPr>
              <w:rPr>
                <w:rFonts w:ascii="Calibri" w:eastAsia="Times New Roman" w:hAnsi="Calibri" w:cs="Arial"/>
                <w:szCs w:val="20"/>
                <w:lang w:eastAsia="en-GB"/>
              </w:rPr>
            </w:pPr>
          </w:p>
        </w:tc>
      </w:tr>
      <w:tr w:rsidR="0093600A" w:rsidRPr="007D0DCD" w14:paraId="7020ADC0" w14:textId="77777777" w:rsidTr="05EFFE67">
        <w:tc>
          <w:tcPr>
            <w:tcW w:w="817" w:type="dxa"/>
            <w:tcBorders>
              <w:top w:val="nil"/>
              <w:left w:val="nil"/>
              <w:bottom w:val="nil"/>
              <w:right w:val="nil"/>
            </w:tcBorders>
          </w:tcPr>
          <w:p w14:paraId="3CDD6717"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2" w:name="_Ref32236292"/>
          </w:p>
        </w:tc>
        <w:bookmarkEnd w:id="12"/>
        <w:tc>
          <w:tcPr>
            <w:tcW w:w="8816" w:type="dxa"/>
            <w:tcBorders>
              <w:top w:val="nil"/>
              <w:left w:val="nil"/>
              <w:bottom w:val="nil"/>
              <w:right w:val="nil"/>
            </w:tcBorders>
          </w:tcPr>
          <w:p w14:paraId="14C8A2F8" w14:textId="1AC4B8CD" w:rsidR="008D2C73" w:rsidRPr="00B056B9" w:rsidRDefault="00E35D8C" w:rsidP="0093600A">
            <w:r>
              <w:t>We will comply with the specific expectations of the Regulator of Social Housing’s (RSH) Governance &amp; Financial Viability Standard which requires registered providers to “provide accurate and timely returns to the regulator, including an annual report on any losses from fraudulent activity, in a form determined by the regulator.”</w:t>
            </w:r>
          </w:p>
        </w:tc>
      </w:tr>
      <w:tr w:rsidR="00B056B9" w:rsidRPr="007D0DCD" w14:paraId="6CBAC287" w14:textId="77777777" w:rsidTr="05EFFE67">
        <w:tc>
          <w:tcPr>
            <w:tcW w:w="817" w:type="dxa"/>
            <w:tcBorders>
              <w:top w:val="nil"/>
              <w:left w:val="nil"/>
              <w:bottom w:val="nil"/>
              <w:right w:val="nil"/>
            </w:tcBorders>
          </w:tcPr>
          <w:p w14:paraId="7810AD12" w14:textId="77777777" w:rsidR="00B056B9" w:rsidRPr="003C1B99" w:rsidRDefault="00B056B9" w:rsidP="00B056B9">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2CC8FF0" w14:textId="77777777" w:rsidR="00B056B9" w:rsidRDefault="00B056B9" w:rsidP="0093600A"/>
        </w:tc>
      </w:tr>
      <w:tr w:rsidR="008D2C73" w:rsidRPr="007D0DCD" w14:paraId="58754908" w14:textId="77777777" w:rsidTr="05EFFE67">
        <w:tc>
          <w:tcPr>
            <w:tcW w:w="817" w:type="dxa"/>
            <w:tcBorders>
              <w:top w:val="nil"/>
              <w:left w:val="nil"/>
              <w:bottom w:val="nil"/>
              <w:right w:val="nil"/>
            </w:tcBorders>
          </w:tcPr>
          <w:p w14:paraId="1AC467CF" w14:textId="77777777" w:rsidR="008D2C73" w:rsidRPr="003C1B99" w:rsidRDefault="008D2C73"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BCF3D72" w14:textId="341A9589" w:rsidR="008D2C73" w:rsidRDefault="008D2C73" w:rsidP="0093600A">
            <w:r>
              <w:t>Tenancy fraud has a direct impact on our customers and their communities. It deprives legitimate customers of access to social housing and breaches legal and regulatory requirements concerning the use of public funds.</w:t>
            </w:r>
          </w:p>
        </w:tc>
      </w:tr>
      <w:tr w:rsidR="0093600A" w:rsidRPr="007D0DCD" w14:paraId="0B86B6C3" w14:textId="77777777" w:rsidTr="05EFFE67">
        <w:tc>
          <w:tcPr>
            <w:tcW w:w="817" w:type="dxa"/>
            <w:tcBorders>
              <w:top w:val="nil"/>
              <w:left w:val="nil"/>
              <w:bottom w:val="nil"/>
              <w:right w:val="nil"/>
            </w:tcBorders>
          </w:tcPr>
          <w:p w14:paraId="30B69EA7"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68F148E7" w14:textId="77777777" w:rsidR="0093600A" w:rsidRPr="007D0DCD" w:rsidRDefault="0093600A" w:rsidP="0093600A">
            <w:pPr>
              <w:rPr>
                <w:rFonts w:ascii="Calibri" w:eastAsia="Times New Roman" w:hAnsi="Calibri" w:cs="Arial"/>
                <w:szCs w:val="20"/>
                <w:lang w:eastAsia="en-GB"/>
              </w:rPr>
            </w:pPr>
          </w:p>
        </w:tc>
      </w:tr>
      <w:tr w:rsidR="0075576F" w:rsidRPr="007D0DCD" w14:paraId="5A2FB5D9" w14:textId="77777777" w:rsidTr="05EFFE67">
        <w:trPr>
          <w:trHeight w:hRule="exact" w:val="340"/>
        </w:trPr>
        <w:tc>
          <w:tcPr>
            <w:tcW w:w="817" w:type="dxa"/>
            <w:tcBorders>
              <w:top w:val="nil"/>
              <w:left w:val="nil"/>
              <w:bottom w:val="nil"/>
              <w:right w:val="nil"/>
            </w:tcBorders>
          </w:tcPr>
          <w:p w14:paraId="407AA3E9" w14:textId="77777777" w:rsidR="0075576F" w:rsidRPr="005927A0" w:rsidRDefault="0075576F" w:rsidP="00290213">
            <w:pPr>
              <w:pStyle w:val="ListParagraph"/>
              <w:numPr>
                <w:ilvl w:val="0"/>
                <w:numId w:val="5"/>
              </w:numPr>
            </w:pPr>
          </w:p>
        </w:tc>
        <w:tc>
          <w:tcPr>
            <w:tcW w:w="8816" w:type="dxa"/>
            <w:tcBorders>
              <w:top w:val="nil"/>
              <w:left w:val="nil"/>
              <w:bottom w:val="nil"/>
              <w:right w:val="nil"/>
            </w:tcBorders>
          </w:tcPr>
          <w:p w14:paraId="3BEEFB69" w14:textId="1CBBAC5F" w:rsidR="0075576F" w:rsidRPr="000D655A" w:rsidRDefault="007B06DD" w:rsidP="00290213">
            <w:pPr>
              <w:pStyle w:val="Heading1"/>
              <w:rPr>
                <w:lang w:val="en-US"/>
              </w:rPr>
            </w:pPr>
            <w:bookmarkStart w:id="13" w:name="_Toc116910371"/>
            <w:r>
              <w:rPr>
                <w:lang w:val="en-US"/>
              </w:rPr>
              <w:t>definitions</w:t>
            </w:r>
            <w:bookmarkEnd w:id="13"/>
          </w:p>
        </w:tc>
      </w:tr>
      <w:tr w:rsidR="00B41462" w:rsidRPr="007D0DCD" w14:paraId="2FF60D77" w14:textId="77777777" w:rsidTr="05EFFE67">
        <w:tc>
          <w:tcPr>
            <w:tcW w:w="817" w:type="dxa"/>
            <w:tcBorders>
              <w:top w:val="nil"/>
              <w:left w:val="nil"/>
              <w:bottom w:val="nil"/>
              <w:right w:val="nil"/>
            </w:tcBorders>
          </w:tcPr>
          <w:p w14:paraId="097EBA89" w14:textId="77777777" w:rsidR="00B41462" w:rsidRPr="00EF55CC" w:rsidRDefault="00B41462" w:rsidP="00290213">
            <w:pPr>
              <w:rPr>
                <w:lang w:eastAsia="en-GB"/>
              </w:rPr>
            </w:pPr>
          </w:p>
        </w:tc>
        <w:tc>
          <w:tcPr>
            <w:tcW w:w="8816" w:type="dxa"/>
            <w:tcBorders>
              <w:top w:val="nil"/>
              <w:left w:val="nil"/>
              <w:bottom w:val="nil"/>
              <w:right w:val="nil"/>
            </w:tcBorders>
          </w:tcPr>
          <w:p w14:paraId="5DC6D569" w14:textId="77777777" w:rsidR="00B41462" w:rsidRPr="00BA26F4" w:rsidRDefault="00B41462" w:rsidP="00290213">
            <w:pPr>
              <w:rPr>
                <w:i/>
                <w:iCs/>
                <w:color w:val="A6A6A6" w:themeColor="background1" w:themeShade="A6"/>
                <w:lang w:val="en-US"/>
              </w:rPr>
            </w:pPr>
          </w:p>
        </w:tc>
      </w:tr>
      <w:tr w:rsidR="0075576F" w:rsidRPr="007D0DCD" w14:paraId="3FCF2499" w14:textId="77777777" w:rsidTr="05EFFE67">
        <w:tc>
          <w:tcPr>
            <w:tcW w:w="817" w:type="dxa"/>
            <w:tcBorders>
              <w:top w:val="nil"/>
              <w:left w:val="nil"/>
              <w:bottom w:val="nil"/>
              <w:right w:val="nil"/>
            </w:tcBorders>
          </w:tcPr>
          <w:p w14:paraId="77DE40F2" w14:textId="77777777" w:rsidR="0075576F" w:rsidRPr="003C1B99" w:rsidRDefault="0075576F" w:rsidP="002902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46E8ACA" w14:textId="318AD802" w:rsidR="0075576F" w:rsidRPr="007D0DCD" w:rsidRDefault="00E35D8C" w:rsidP="00290213">
            <w:pPr>
              <w:rPr>
                <w:rFonts w:ascii="Calibri" w:eastAsia="Times New Roman" w:hAnsi="Calibri" w:cs="Arial"/>
                <w:szCs w:val="20"/>
                <w:lang w:eastAsia="en-GB"/>
              </w:rPr>
            </w:pPr>
            <w:r>
              <w:t>Fraud is defined as: “deception deliberately practised in order to secure unfair or unlawful gain.” The deception may involve fraud by false representation, fraud by failure to disclose information when there is a duty to do so and fraud by abuse of position.</w:t>
            </w:r>
          </w:p>
        </w:tc>
      </w:tr>
      <w:tr w:rsidR="0075576F" w:rsidRPr="007D0DCD" w14:paraId="02495C43" w14:textId="77777777" w:rsidTr="05EFFE67">
        <w:tc>
          <w:tcPr>
            <w:tcW w:w="817" w:type="dxa"/>
            <w:tcBorders>
              <w:top w:val="nil"/>
              <w:left w:val="nil"/>
              <w:bottom w:val="nil"/>
              <w:right w:val="nil"/>
            </w:tcBorders>
          </w:tcPr>
          <w:p w14:paraId="08BBEAC9" w14:textId="77777777" w:rsidR="0075576F" w:rsidRPr="007D0DCD" w:rsidRDefault="0075576F" w:rsidP="00290213">
            <w:pPr>
              <w:rPr>
                <w:rFonts w:ascii="Calibri" w:eastAsia="Times New Roman" w:hAnsi="Calibri" w:cs="Arial"/>
                <w:szCs w:val="20"/>
                <w:lang w:eastAsia="en-GB"/>
              </w:rPr>
            </w:pPr>
          </w:p>
        </w:tc>
        <w:tc>
          <w:tcPr>
            <w:tcW w:w="8816" w:type="dxa"/>
            <w:tcBorders>
              <w:top w:val="nil"/>
              <w:left w:val="nil"/>
              <w:bottom w:val="nil"/>
              <w:right w:val="nil"/>
            </w:tcBorders>
          </w:tcPr>
          <w:p w14:paraId="2C2AD565" w14:textId="77777777" w:rsidR="0075576F" w:rsidRPr="007D0DCD" w:rsidRDefault="0075576F" w:rsidP="00290213">
            <w:pPr>
              <w:rPr>
                <w:rFonts w:ascii="Calibri" w:eastAsia="Times New Roman" w:hAnsi="Calibri" w:cs="Arial"/>
                <w:szCs w:val="20"/>
                <w:lang w:eastAsia="en-GB"/>
              </w:rPr>
            </w:pPr>
          </w:p>
        </w:tc>
      </w:tr>
      <w:tr w:rsidR="0075576F" w:rsidRPr="007D0DCD" w14:paraId="71B512CF" w14:textId="77777777" w:rsidTr="05EFFE67">
        <w:tc>
          <w:tcPr>
            <w:tcW w:w="817" w:type="dxa"/>
            <w:tcBorders>
              <w:top w:val="nil"/>
              <w:left w:val="nil"/>
              <w:bottom w:val="nil"/>
              <w:right w:val="nil"/>
            </w:tcBorders>
          </w:tcPr>
          <w:p w14:paraId="53651E47" w14:textId="77777777" w:rsidR="0075576F" w:rsidRPr="003C1B99" w:rsidRDefault="0075576F" w:rsidP="00290213">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9475C84" w14:textId="20BE5373" w:rsidR="0075576F" w:rsidRPr="00F72317" w:rsidRDefault="00777E0C" w:rsidP="00290213">
            <w:pPr>
              <w:pStyle w:val="ListBullet1"/>
              <w:numPr>
                <w:ilvl w:val="0"/>
                <w:numId w:val="0"/>
              </w:numPr>
              <w:rPr>
                <w:lang w:eastAsia="en-GB"/>
              </w:rPr>
            </w:pPr>
            <w:r>
              <w:rPr>
                <w:lang w:eastAsia="en-GB"/>
              </w:rPr>
              <w:t xml:space="preserve">Examples of common tenancy fraud are provided </w:t>
            </w:r>
            <w:r w:rsidR="00B056B9">
              <w:rPr>
                <w:lang w:eastAsia="en-GB"/>
              </w:rPr>
              <w:t xml:space="preserve">in section 5.1.1 of </w:t>
            </w:r>
            <w:r>
              <w:rPr>
                <w:lang w:eastAsia="en-GB"/>
              </w:rPr>
              <w:t>this policy.</w:t>
            </w:r>
          </w:p>
        </w:tc>
      </w:tr>
      <w:tr w:rsidR="0075576F" w:rsidRPr="007D0DCD" w14:paraId="40C9F605" w14:textId="77777777" w:rsidTr="05EFFE67">
        <w:tc>
          <w:tcPr>
            <w:tcW w:w="817" w:type="dxa"/>
            <w:tcBorders>
              <w:top w:val="nil"/>
              <w:left w:val="nil"/>
              <w:bottom w:val="nil"/>
              <w:right w:val="nil"/>
            </w:tcBorders>
          </w:tcPr>
          <w:p w14:paraId="4A9F8DC1" w14:textId="77777777" w:rsidR="0075576F" w:rsidRPr="007D0DCD" w:rsidRDefault="0075576F" w:rsidP="00290213">
            <w:pPr>
              <w:rPr>
                <w:rFonts w:ascii="Calibri" w:eastAsia="Times New Roman" w:hAnsi="Calibri" w:cs="Arial"/>
                <w:szCs w:val="20"/>
                <w:lang w:eastAsia="en-GB"/>
              </w:rPr>
            </w:pPr>
          </w:p>
        </w:tc>
        <w:tc>
          <w:tcPr>
            <w:tcW w:w="8816" w:type="dxa"/>
            <w:tcBorders>
              <w:top w:val="nil"/>
              <w:left w:val="nil"/>
              <w:bottom w:val="nil"/>
              <w:right w:val="nil"/>
            </w:tcBorders>
          </w:tcPr>
          <w:p w14:paraId="660DF702" w14:textId="77777777" w:rsidR="0075576F" w:rsidRPr="007D0DCD" w:rsidRDefault="0075576F" w:rsidP="00290213">
            <w:pPr>
              <w:rPr>
                <w:rFonts w:ascii="Calibri" w:eastAsia="Times New Roman" w:hAnsi="Calibri" w:cs="Arial"/>
                <w:szCs w:val="20"/>
                <w:lang w:eastAsia="en-GB"/>
              </w:rPr>
            </w:pPr>
          </w:p>
        </w:tc>
      </w:tr>
      <w:tr w:rsidR="007B06DD" w:rsidRPr="007D0DCD" w14:paraId="0D12B5F6" w14:textId="77777777" w:rsidTr="05EFFE67">
        <w:trPr>
          <w:trHeight w:hRule="exact" w:val="340"/>
        </w:trPr>
        <w:tc>
          <w:tcPr>
            <w:tcW w:w="817" w:type="dxa"/>
            <w:tcBorders>
              <w:top w:val="nil"/>
              <w:left w:val="nil"/>
              <w:bottom w:val="nil"/>
              <w:right w:val="nil"/>
            </w:tcBorders>
          </w:tcPr>
          <w:p w14:paraId="1A29E1DA" w14:textId="77777777" w:rsidR="007B06DD" w:rsidRPr="005927A0" w:rsidRDefault="007B06DD" w:rsidP="00290213">
            <w:pPr>
              <w:pStyle w:val="ListParagraph"/>
              <w:numPr>
                <w:ilvl w:val="0"/>
                <w:numId w:val="5"/>
              </w:numPr>
            </w:pPr>
          </w:p>
        </w:tc>
        <w:tc>
          <w:tcPr>
            <w:tcW w:w="8816" w:type="dxa"/>
            <w:tcBorders>
              <w:top w:val="nil"/>
              <w:left w:val="nil"/>
              <w:bottom w:val="nil"/>
              <w:right w:val="nil"/>
            </w:tcBorders>
          </w:tcPr>
          <w:p w14:paraId="53CA25A3" w14:textId="032AB4BA" w:rsidR="007B06DD" w:rsidRPr="000D655A" w:rsidRDefault="007B06DD" w:rsidP="00290213">
            <w:pPr>
              <w:pStyle w:val="Heading1"/>
              <w:rPr>
                <w:lang w:val="en-US"/>
              </w:rPr>
            </w:pPr>
            <w:bookmarkStart w:id="14" w:name="_Toc116910372"/>
            <w:r>
              <w:rPr>
                <w:lang w:val="en-US"/>
              </w:rPr>
              <w:t>OUR POLICY</w:t>
            </w:r>
            <w:bookmarkEnd w:id="14"/>
          </w:p>
        </w:tc>
      </w:tr>
      <w:tr w:rsidR="00B41462" w:rsidRPr="007D0DCD" w14:paraId="18912B3D" w14:textId="77777777" w:rsidTr="05EFFE67">
        <w:tc>
          <w:tcPr>
            <w:tcW w:w="817" w:type="dxa"/>
            <w:tcBorders>
              <w:top w:val="nil"/>
              <w:left w:val="nil"/>
              <w:bottom w:val="nil"/>
              <w:right w:val="nil"/>
            </w:tcBorders>
          </w:tcPr>
          <w:p w14:paraId="2E11EB5A" w14:textId="77777777" w:rsidR="00B41462" w:rsidRPr="00EF55CC" w:rsidRDefault="00B41462" w:rsidP="00290213">
            <w:pPr>
              <w:rPr>
                <w:lang w:eastAsia="en-GB"/>
              </w:rPr>
            </w:pPr>
          </w:p>
        </w:tc>
        <w:tc>
          <w:tcPr>
            <w:tcW w:w="8816" w:type="dxa"/>
            <w:tcBorders>
              <w:top w:val="nil"/>
              <w:left w:val="nil"/>
              <w:bottom w:val="nil"/>
              <w:right w:val="nil"/>
            </w:tcBorders>
          </w:tcPr>
          <w:p w14:paraId="007EB923" w14:textId="77777777" w:rsidR="00B41462" w:rsidRPr="00BA26F4" w:rsidRDefault="00B41462" w:rsidP="007B06DD">
            <w:pPr>
              <w:rPr>
                <w:i/>
                <w:iCs/>
                <w:color w:val="A6A6A6" w:themeColor="background1" w:themeShade="A6"/>
                <w:lang w:val="en-US"/>
              </w:rPr>
            </w:pPr>
          </w:p>
        </w:tc>
      </w:tr>
      <w:tr w:rsidR="007B06DD" w:rsidRPr="007D0DCD" w14:paraId="79335D6F" w14:textId="77777777" w:rsidTr="05EFFE67">
        <w:tc>
          <w:tcPr>
            <w:tcW w:w="817" w:type="dxa"/>
            <w:tcBorders>
              <w:top w:val="nil"/>
              <w:left w:val="nil"/>
              <w:bottom w:val="nil"/>
              <w:right w:val="nil"/>
            </w:tcBorders>
          </w:tcPr>
          <w:p w14:paraId="73D2A5CB" w14:textId="77777777" w:rsidR="007B06DD" w:rsidRPr="003C1B99" w:rsidRDefault="007B06DD" w:rsidP="002902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32F5095" w14:textId="53C594CD" w:rsidR="007B06DD" w:rsidRPr="007D0DCD" w:rsidRDefault="00E35D8C" w:rsidP="00290213">
            <w:pPr>
              <w:rPr>
                <w:rFonts w:ascii="Calibri" w:eastAsia="Times New Roman" w:hAnsi="Calibri" w:cs="Arial"/>
                <w:szCs w:val="20"/>
                <w:lang w:eastAsia="en-GB"/>
              </w:rPr>
            </w:pPr>
            <w:r>
              <w:t xml:space="preserve">Tenancy Fraud is a criminal offence, and we work proactively with partners in detecting, investigating, and prosecuting fraudulent activity. </w:t>
            </w:r>
          </w:p>
        </w:tc>
      </w:tr>
      <w:tr w:rsidR="007B06DD" w:rsidRPr="007D0DCD" w14:paraId="477C105E" w14:textId="77777777" w:rsidTr="05EFFE67">
        <w:tc>
          <w:tcPr>
            <w:tcW w:w="817" w:type="dxa"/>
            <w:tcBorders>
              <w:top w:val="nil"/>
              <w:left w:val="nil"/>
              <w:bottom w:val="nil"/>
              <w:right w:val="nil"/>
            </w:tcBorders>
          </w:tcPr>
          <w:p w14:paraId="42946E86" w14:textId="77777777" w:rsidR="007B06DD" w:rsidRPr="007D0DCD" w:rsidRDefault="007B06DD" w:rsidP="00290213">
            <w:pPr>
              <w:rPr>
                <w:rFonts w:ascii="Calibri" w:eastAsia="Times New Roman" w:hAnsi="Calibri" w:cs="Arial"/>
                <w:szCs w:val="20"/>
                <w:lang w:eastAsia="en-GB"/>
              </w:rPr>
            </w:pPr>
          </w:p>
        </w:tc>
        <w:tc>
          <w:tcPr>
            <w:tcW w:w="8816" w:type="dxa"/>
            <w:tcBorders>
              <w:top w:val="nil"/>
              <w:left w:val="nil"/>
              <w:bottom w:val="nil"/>
              <w:right w:val="nil"/>
            </w:tcBorders>
          </w:tcPr>
          <w:p w14:paraId="5360E69E" w14:textId="77777777" w:rsidR="007B06DD" w:rsidRPr="007D0DCD" w:rsidRDefault="007B06DD" w:rsidP="00290213">
            <w:pPr>
              <w:rPr>
                <w:rFonts w:ascii="Calibri" w:eastAsia="Times New Roman" w:hAnsi="Calibri" w:cs="Arial"/>
                <w:szCs w:val="20"/>
                <w:lang w:eastAsia="en-GB"/>
              </w:rPr>
            </w:pPr>
          </w:p>
        </w:tc>
      </w:tr>
      <w:tr w:rsidR="002A1E22" w:rsidRPr="007D0DCD" w14:paraId="3317F09D" w14:textId="77777777" w:rsidTr="05EFFE67">
        <w:tc>
          <w:tcPr>
            <w:tcW w:w="817" w:type="dxa"/>
            <w:tcBorders>
              <w:top w:val="nil"/>
              <w:left w:val="nil"/>
              <w:bottom w:val="nil"/>
              <w:right w:val="nil"/>
            </w:tcBorders>
          </w:tcPr>
          <w:p w14:paraId="7D8CBF3C" w14:textId="77777777" w:rsidR="002A1E22" w:rsidRPr="003C1B99" w:rsidRDefault="002A1E22" w:rsidP="002A1E22">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7AEEAA8" w14:textId="77777777" w:rsidR="002A1E22" w:rsidRPr="009E3D05" w:rsidRDefault="002A1E22" w:rsidP="002A1E22">
            <w:r w:rsidRPr="009E3D05">
              <w:t>Common examples of social housing fraud include:</w:t>
            </w:r>
          </w:p>
          <w:p w14:paraId="6C6D1DEC" w14:textId="77777777" w:rsidR="002A1E22" w:rsidRPr="009E3D05" w:rsidRDefault="002A1E22" w:rsidP="002A1E22"/>
          <w:p w14:paraId="3121E058" w14:textId="77777777" w:rsidR="002A1E22" w:rsidRPr="009E3D05" w:rsidRDefault="002A1E22" w:rsidP="002A1E22">
            <w:pPr>
              <w:pStyle w:val="ListParagraph"/>
              <w:numPr>
                <w:ilvl w:val="0"/>
                <w:numId w:val="23"/>
              </w:numPr>
              <w:rPr>
                <w:rFonts w:asciiTheme="minorHAnsi" w:hAnsiTheme="minorHAnsi"/>
                <w:b w:val="0"/>
                <w:color w:val="auto"/>
              </w:rPr>
            </w:pPr>
            <w:r w:rsidRPr="009E3D05">
              <w:rPr>
                <w:rFonts w:asciiTheme="minorHAnsi" w:hAnsiTheme="minorHAnsi"/>
                <w:b w:val="0"/>
                <w:color w:val="auto"/>
              </w:rPr>
              <w:t>Unauthorised subletting - Either for profit or providing the tenancy for family members or friends.</w:t>
            </w:r>
          </w:p>
          <w:p w14:paraId="7BA86250" w14:textId="77777777" w:rsidR="002A1E22" w:rsidRPr="009E3D05" w:rsidRDefault="002A1E22" w:rsidP="002A1E22">
            <w:pPr>
              <w:pStyle w:val="ListParagraph"/>
              <w:numPr>
                <w:ilvl w:val="0"/>
                <w:numId w:val="23"/>
              </w:numPr>
              <w:rPr>
                <w:rFonts w:asciiTheme="minorHAnsi" w:hAnsiTheme="minorHAnsi"/>
                <w:b w:val="0"/>
                <w:color w:val="auto"/>
              </w:rPr>
            </w:pPr>
            <w:r w:rsidRPr="009E3D05">
              <w:rPr>
                <w:rFonts w:asciiTheme="minorHAnsi" w:hAnsiTheme="minorHAnsi"/>
                <w:b w:val="0"/>
                <w:color w:val="auto"/>
              </w:rPr>
              <w:t>Obtaining a house by deception - Giving false information in a housing application to improve the chances of getting a property, for example, falsely claiming to be living with a relative or failing to disclose a change of circumstances.</w:t>
            </w:r>
          </w:p>
          <w:p w14:paraId="05D088CF" w14:textId="77777777" w:rsidR="002A1E22" w:rsidRDefault="002A1E22" w:rsidP="002A1E22">
            <w:pPr>
              <w:pStyle w:val="ListParagraph"/>
              <w:numPr>
                <w:ilvl w:val="0"/>
                <w:numId w:val="23"/>
              </w:numPr>
              <w:rPr>
                <w:rFonts w:asciiTheme="minorHAnsi" w:hAnsiTheme="minorHAnsi"/>
                <w:b w:val="0"/>
                <w:color w:val="auto"/>
              </w:rPr>
            </w:pPr>
            <w:r w:rsidRPr="009E3D05">
              <w:rPr>
                <w:rFonts w:asciiTheme="minorHAnsi" w:hAnsiTheme="minorHAnsi"/>
                <w:b w:val="0"/>
                <w:color w:val="auto"/>
              </w:rPr>
              <w:t>Tenancy succession by deception</w:t>
            </w:r>
            <w:r>
              <w:rPr>
                <w:rFonts w:asciiTheme="minorHAnsi" w:hAnsiTheme="minorHAnsi"/>
                <w:b w:val="0"/>
                <w:color w:val="auto"/>
              </w:rPr>
              <w:t xml:space="preserve"> - </w:t>
            </w:r>
            <w:r w:rsidRPr="009E3D05">
              <w:rPr>
                <w:rFonts w:asciiTheme="minorHAnsi" w:hAnsiTheme="minorHAnsi"/>
                <w:b w:val="0"/>
                <w:color w:val="auto"/>
              </w:rPr>
              <w:t>False succession where the tenancy is taken over, often on the death of the tenant, by someone who falsely claims to have been living there for some time. For example, a person succeeding on the death of a relative or where succession rights have been exhausted.</w:t>
            </w:r>
          </w:p>
          <w:p w14:paraId="2C1D167C" w14:textId="77777777" w:rsidR="002A1E22" w:rsidRPr="009E3D05" w:rsidRDefault="002A1E22" w:rsidP="002A1E22">
            <w:pPr>
              <w:pStyle w:val="ListParagraph"/>
              <w:numPr>
                <w:ilvl w:val="0"/>
                <w:numId w:val="23"/>
              </w:numPr>
              <w:rPr>
                <w:rFonts w:asciiTheme="minorHAnsi" w:hAnsiTheme="minorHAnsi"/>
                <w:b w:val="0"/>
                <w:color w:val="auto"/>
              </w:rPr>
            </w:pPr>
            <w:r>
              <w:rPr>
                <w:rFonts w:asciiTheme="minorHAnsi" w:hAnsiTheme="minorHAnsi"/>
                <w:b w:val="0"/>
                <w:color w:val="auto"/>
              </w:rPr>
              <w:t xml:space="preserve">Non occupation – falsely claiming to use the property as the main home, whilst living elsewhere </w:t>
            </w:r>
          </w:p>
          <w:p w14:paraId="72F4701B" w14:textId="77777777" w:rsidR="002A1E22" w:rsidRDefault="002A1E22" w:rsidP="002A1E22">
            <w:pPr>
              <w:pStyle w:val="ListParagraph"/>
              <w:numPr>
                <w:ilvl w:val="0"/>
                <w:numId w:val="23"/>
              </w:numPr>
              <w:rPr>
                <w:rFonts w:asciiTheme="minorHAnsi" w:hAnsiTheme="minorHAnsi"/>
                <w:b w:val="0"/>
                <w:color w:val="auto"/>
              </w:rPr>
            </w:pPr>
            <w:r w:rsidRPr="009E3D05">
              <w:rPr>
                <w:rFonts w:asciiTheme="minorHAnsi" w:hAnsiTheme="minorHAnsi"/>
                <w:b w:val="0"/>
                <w:color w:val="auto"/>
              </w:rPr>
              <w:t>Key selling</w:t>
            </w:r>
            <w:r>
              <w:rPr>
                <w:rFonts w:asciiTheme="minorHAnsi" w:hAnsiTheme="minorHAnsi"/>
                <w:b w:val="0"/>
                <w:color w:val="auto"/>
              </w:rPr>
              <w:t xml:space="preserve"> - </w:t>
            </w:r>
            <w:r w:rsidRPr="009E3D05">
              <w:rPr>
                <w:rFonts w:asciiTheme="minorHAnsi" w:hAnsiTheme="minorHAnsi"/>
                <w:b w:val="0"/>
                <w:color w:val="auto"/>
              </w:rPr>
              <w:t>Where the tenant moves out and is paid to hand over the tenancy to someone else.</w:t>
            </w:r>
          </w:p>
          <w:p w14:paraId="267DAC94" w14:textId="2E963B11" w:rsidR="002A1E22" w:rsidRPr="009E3D05" w:rsidRDefault="002A1E22" w:rsidP="05EFFE67">
            <w:pPr>
              <w:pStyle w:val="ListParagraph"/>
              <w:numPr>
                <w:ilvl w:val="0"/>
                <w:numId w:val="23"/>
              </w:numPr>
              <w:rPr>
                <w:rFonts w:asciiTheme="minorHAnsi" w:hAnsiTheme="minorHAnsi"/>
                <w:b w:val="0"/>
                <w:color w:val="auto"/>
              </w:rPr>
            </w:pPr>
            <w:r w:rsidRPr="05EFFE67">
              <w:rPr>
                <w:rFonts w:asciiTheme="minorHAnsi" w:hAnsiTheme="minorHAnsi"/>
                <w:b w:val="0"/>
                <w:color w:val="auto"/>
              </w:rPr>
              <w:t xml:space="preserve">Unauthorised exchange or assignment – Undertaking either activity through false information or without the Trust’s </w:t>
            </w:r>
            <w:r w:rsidR="00B056B9" w:rsidRPr="05EFFE67">
              <w:rPr>
                <w:rFonts w:asciiTheme="minorHAnsi" w:hAnsiTheme="minorHAnsi"/>
                <w:b w:val="0"/>
                <w:color w:val="auto"/>
              </w:rPr>
              <w:t>consent.</w:t>
            </w:r>
          </w:p>
          <w:p w14:paraId="3E526B7A" w14:textId="5C65A8B6" w:rsidR="002A1E22" w:rsidRPr="001F5B00" w:rsidRDefault="157AF2EE" w:rsidP="553986A7">
            <w:pPr>
              <w:pStyle w:val="ListParagraph"/>
              <w:numPr>
                <w:ilvl w:val="0"/>
                <w:numId w:val="23"/>
              </w:numPr>
              <w:rPr>
                <w:rFonts w:asciiTheme="minorHAnsi" w:eastAsia="Times New Roman" w:hAnsiTheme="minorHAnsi" w:cs="Arial"/>
                <w:b w:val="0"/>
                <w:color w:val="auto"/>
                <w:lang w:eastAsia="en-GB"/>
              </w:rPr>
            </w:pPr>
            <w:r w:rsidRPr="553986A7">
              <w:rPr>
                <w:rFonts w:asciiTheme="minorHAnsi" w:hAnsiTheme="minorHAnsi"/>
                <w:b w:val="0"/>
                <w:color w:val="auto"/>
              </w:rPr>
              <w:t xml:space="preserve">Right to Buy </w:t>
            </w:r>
            <w:r w:rsidR="00B605DA">
              <w:rPr>
                <w:rFonts w:asciiTheme="minorHAnsi" w:hAnsiTheme="minorHAnsi"/>
                <w:b w:val="0"/>
                <w:color w:val="auto"/>
              </w:rPr>
              <w:t xml:space="preserve">or Right to Acquire </w:t>
            </w:r>
            <w:r w:rsidRPr="553986A7">
              <w:rPr>
                <w:rFonts w:asciiTheme="minorHAnsi" w:hAnsiTheme="minorHAnsi"/>
                <w:b w:val="0"/>
                <w:color w:val="auto"/>
              </w:rPr>
              <w:t>fraud - Falsely claiming the Right to Buy</w:t>
            </w:r>
            <w:r w:rsidR="00B605DA">
              <w:rPr>
                <w:rFonts w:asciiTheme="minorHAnsi" w:hAnsiTheme="minorHAnsi"/>
                <w:b w:val="0"/>
                <w:color w:val="auto"/>
              </w:rPr>
              <w:t xml:space="preserve"> or Right to Acquire</w:t>
            </w:r>
            <w:r w:rsidRPr="553986A7">
              <w:rPr>
                <w:rFonts w:asciiTheme="minorHAnsi" w:hAnsiTheme="minorHAnsi"/>
                <w:b w:val="0"/>
                <w:color w:val="auto"/>
              </w:rPr>
              <w:t xml:space="preserve"> and associated discounts </w:t>
            </w:r>
            <w:bookmarkStart w:id="15" w:name="_Int_UXyTcgT0"/>
            <w:r w:rsidRPr="553986A7">
              <w:rPr>
                <w:rFonts w:asciiTheme="minorHAnsi" w:hAnsiTheme="minorHAnsi"/>
                <w:b w:val="0"/>
                <w:color w:val="auto"/>
              </w:rPr>
              <w:t>as a result of</w:t>
            </w:r>
            <w:bookmarkEnd w:id="15"/>
            <w:r w:rsidRPr="553986A7">
              <w:rPr>
                <w:rFonts w:asciiTheme="minorHAnsi" w:hAnsiTheme="minorHAnsi"/>
                <w:b w:val="0"/>
                <w:color w:val="auto"/>
              </w:rPr>
              <w:t xml:space="preserve"> misrepresenting who lives in the property.</w:t>
            </w:r>
          </w:p>
          <w:p w14:paraId="1B915FE1" w14:textId="7AF20C9F" w:rsidR="002A1E22" w:rsidRPr="00F72317" w:rsidRDefault="157AF2EE" w:rsidP="00777E0C">
            <w:pPr>
              <w:pStyle w:val="ListBullet1"/>
              <w:numPr>
                <w:ilvl w:val="0"/>
                <w:numId w:val="23"/>
              </w:numPr>
              <w:rPr>
                <w:lang w:eastAsia="en-GB"/>
              </w:rPr>
            </w:pPr>
            <w:r w:rsidRPr="553986A7">
              <w:rPr>
                <w:rFonts w:eastAsia="Times New Roman" w:cs="Arial"/>
                <w:lang w:eastAsia="en-GB"/>
              </w:rPr>
              <w:t xml:space="preserve">Benefit Fraud - For example, a single person living on their own moves a partner or family member into their home. If they are claiming Single Persons Discount on their Council Tax and do not inform the local authority, this is </w:t>
            </w:r>
            <w:bookmarkStart w:id="16" w:name="_Int_VXgdyBNv"/>
            <w:r w:rsidRPr="553986A7">
              <w:rPr>
                <w:rFonts w:eastAsia="Times New Roman" w:cs="Arial"/>
                <w:lang w:eastAsia="en-GB"/>
              </w:rPr>
              <w:t>benefit</w:t>
            </w:r>
            <w:bookmarkEnd w:id="16"/>
            <w:r w:rsidRPr="553986A7">
              <w:rPr>
                <w:rFonts w:eastAsia="Times New Roman" w:cs="Arial"/>
                <w:lang w:eastAsia="en-GB"/>
              </w:rPr>
              <w:t xml:space="preserve"> fraud which is a criminal offence carrying a potential prison sentence. This information is shared with local authority partners.</w:t>
            </w:r>
          </w:p>
        </w:tc>
      </w:tr>
      <w:tr w:rsidR="002A1E22" w:rsidRPr="007D0DCD" w14:paraId="5C9EE129" w14:textId="77777777" w:rsidTr="05EFFE67">
        <w:tc>
          <w:tcPr>
            <w:tcW w:w="817" w:type="dxa"/>
            <w:tcBorders>
              <w:top w:val="nil"/>
              <w:left w:val="nil"/>
              <w:bottom w:val="nil"/>
              <w:right w:val="nil"/>
            </w:tcBorders>
          </w:tcPr>
          <w:p w14:paraId="38768184" w14:textId="77777777" w:rsidR="002A1E22" w:rsidRPr="007D0DCD" w:rsidRDefault="002A1E22" w:rsidP="002A1E22">
            <w:pPr>
              <w:rPr>
                <w:rFonts w:ascii="Calibri" w:eastAsia="Times New Roman" w:hAnsi="Calibri" w:cs="Arial"/>
                <w:szCs w:val="20"/>
                <w:lang w:eastAsia="en-GB"/>
              </w:rPr>
            </w:pPr>
          </w:p>
        </w:tc>
        <w:tc>
          <w:tcPr>
            <w:tcW w:w="8816" w:type="dxa"/>
            <w:tcBorders>
              <w:top w:val="nil"/>
              <w:left w:val="nil"/>
              <w:bottom w:val="nil"/>
              <w:right w:val="nil"/>
            </w:tcBorders>
          </w:tcPr>
          <w:p w14:paraId="35536D8F" w14:textId="77777777" w:rsidR="002A1E22" w:rsidRPr="007D0DCD" w:rsidRDefault="002A1E22" w:rsidP="002A1E22">
            <w:pPr>
              <w:rPr>
                <w:rFonts w:ascii="Calibri" w:eastAsia="Times New Roman" w:hAnsi="Calibri" w:cs="Arial"/>
                <w:szCs w:val="20"/>
                <w:lang w:eastAsia="en-GB"/>
              </w:rPr>
            </w:pPr>
          </w:p>
        </w:tc>
      </w:tr>
      <w:tr w:rsidR="002A1E22" w:rsidRPr="007D0DCD" w14:paraId="13E10090" w14:textId="77777777" w:rsidTr="05EFFE67">
        <w:tc>
          <w:tcPr>
            <w:tcW w:w="817" w:type="dxa"/>
            <w:tcBorders>
              <w:top w:val="nil"/>
              <w:left w:val="nil"/>
              <w:bottom w:val="nil"/>
              <w:right w:val="nil"/>
            </w:tcBorders>
          </w:tcPr>
          <w:p w14:paraId="5630D668" w14:textId="77777777" w:rsidR="002A1E22" w:rsidRPr="003C1B99" w:rsidRDefault="002A1E22" w:rsidP="002A1E22">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6D97F12" w14:textId="77777777" w:rsidR="002A1E22" w:rsidRDefault="157AF2EE" w:rsidP="002A1E22">
            <w:r>
              <w:t xml:space="preserve">There are </w:t>
            </w:r>
            <w:bookmarkStart w:id="17" w:name="_Int_ycz2VM0O"/>
            <w:r>
              <w:t>a number of</w:t>
            </w:r>
            <w:bookmarkEnd w:id="17"/>
            <w:r>
              <w:t xml:space="preserve"> ways in which tenancy or benefit fraud takes place: </w:t>
            </w:r>
          </w:p>
          <w:p w14:paraId="00EC9D1A" w14:textId="036CCE97"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Housing applicants failing to disclose information. </w:t>
            </w:r>
          </w:p>
          <w:p w14:paraId="10538D78" w14:textId="1C2450D2"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Housing applicants forging landlord references. </w:t>
            </w:r>
          </w:p>
          <w:p w14:paraId="7066EFB6" w14:textId="2D88631D"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Landlords failing to disclose information about tenancy problems. </w:t>
            </w:r>
          </w:p>
          <w:p w14:paraId="38070A86" w14:textId="22B0D391"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lastRenderedPageBreak/>
              <w:t xml:space="preserve">People using tenancies as postal addresses or not using the property as their only or principal home. </w:t>
            </w:r>
          </w:p>
          <w:p w14:paraId="012B7A0B" w14:textId="001E49DA"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People illegally sub-letting their tenancies or selling their keys to the property to a third party. </w:t>
            </w:r>
          </w:p>
          <w:p w14:paraId="7BF5B6C8" w14:textId="0195562D"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People trying to falsely succeed to a tenancy. </w:t>
            </w:r>
          </w:p>
          <w:p w14:paraId="1C721F1B" w14:textId="2AF048D9"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People undertaking cash-in-hand work when they are claiming benefits. </w:t>
            </w:r>
          </w:p>
          <w:p w14:paraId="612004FB" w14:textId="69FE6F00"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People claiming disabilities when they are capable of work. </w:t>
            </w:r>
          </w:p>
          <w:p w14:paraId="246BF78A" w14:textId="6B66103B" w:rsidR="002A1E22" w:rsidRPr="005144D0" w:rsidRDefault="002A1E22" w:rsidP="005144D0">
            <w:pPr>
              <w:pStyle w:val="ListParagraph"/>
              <w:numPr>
                <w:ilvl w:val="0"/>
                <w:numId w:val="23"/>
              </w:numPr>
              <w:rPr>
                <w:rFonts w:asciiTheme="minorHAnsi" w:hAnsiTheme="minorHAnsi"/>
                <w:b w:val="0"/>
                <w:color w:val="auto"/>
              </w:rPr>
            </w:pPr>
            <w:r w:rsidRPr="00237822">
              <w:rPr>
                <w:rFonts w:asciiTheme="minorHAnsi" w:hAnsiTheme="minorHAnsi"/>
                <w:b w:val="0"/>
                <w:color w:val="auto"/>
              </w:rPr>
              <w:t xml:space="preserve">Couples claiming to live separately to maximise benefits. </w:t>
            </w:r>
          </w:p>
          <w:p w14:paraId="2A9E3EEE" w14:textId="23CC6E46" w:rsidR="002A1E22" w:rsidRPr="00F72317" w:rsidRDefault="00237822" w:rsidP="005144D0">
            <w:pPr>
              <w:pStyle w:val="ListParagraph"/>
              <w:numPr>
                <w:ilvl w:val="0"/>
                <w:numId w:val="23"/>
              </w:numPr>
              <w:rPr>
                <w:rFonts w:eastAsia="Times New Roman" w:cs="Arial"/>
                <w:color w:val="000000" w:themeColor="text1"/>
                <w:szCs w:val="20"/>
                <w:lang w:eastAsia="en-GB"/>
              </w:rPr>
            </w:pPr>
            <w:r>
              <w:rPr>
                <w:rFonts w:asciiTheme="minorHAnsi" w:hAnsiTheme="minorHAnsi"/>
                <w:b w:val="0"/>
                <w:color w:val="auto"/>
              </w:rPr>
              <w:t>F</w:t>
            </w:r>
            <w:r w:rsidR="002A1E22" w:rsidRPr="00237822">
              <w:rPr>
                <w:rFonts w:asciiTheme="minorHAnsi" w:hAnsiTheme="minorHAnsi"/>
                <w:b w:val="0"/>
                <w:color w:val="auto"/>
              </w:rPr>
              <w:t>amily members attempting to purchase homes with right</w:t>
            </w:r>
            <w:r w:rsidR="00777E0C" w:rsidRPr="00237822">
              <w:rPr>
                <w:rFonts w:asciiTheme="minorHAnsi" w:hAnsiTheme="minorHAnsi"/>
                <w:b w:val="0"/>
                <w:color w:val="auto"/>
              </w:rPr>
              <w:t xml:space="preserve"> </w:t>
            </w:r>
            <w:r w:rsidR="002A1E22" w:rsidRPr="00237822">
              <w:rPr>
                <w:rFonts w:asciiTheme="minorHAnsi" w:hAnsiTheme="minorHAnsi"/>
                <w:b w:val="0"/>
                <w:color w:val="auto"/>
              </w:rPr>
              <w:t>to</w:t>
            </w:r>
            <w:r w:rsidR="00777E0C" w:rsidRPr="00237822">
              <w:rPr>
                <w:rFonts w:asciiTheme="minorHAnsi" w:hAnsiTheme="minorHAnsi"/>
                <w:b w:val="0"/>
                <w:color w:val="auto"/>
              </w:rPr>
              <w:t xml:space="preserve"> </w:t>
            </w:r>
            <w:r w:rsidR="002A1E22" w:rsidRPr="00237822">
              <w:rPr>
                <w:rFonts w:asciiTheme="minorHAnsi" w:hAnsiTheme="minorHAnsi"/>
                <w:b w:val="0"/>
                <w:color w:val="auto"/>
              </w:rPr>
              <w:t>buy or right</w:t>
            </w:r>
            <w:r w:rsidR="00777E0C" w:rsidRPr="00237822">
              <w:rPr>
                <w:rFonts w:asciiTheme="minorHAnsi" w:hAnsiTheme="minorHAnsi"/>
                <w:b w:val="0"/>
                <w:color w:val="auto"/>
              </w:rPr>
              <w:t xml:space="preserve"> </w:t>
            </w:r>
            <w:r w:rsidR="002A1E22" w:rsidRPr="00237822">
              <w:rPr>
                <w:rFonts w:asciiTheme="minorHAnsi" w:hAnsiTheme="minorHAnsi"/>
                <w:b w:val="0"/>
                <w:color w:val="auto"/>
              </w:rPr>
              <w:t>to</w:t>
            </w:r>
            <w:r w:rsidR="00777E0C" w:rsidRPr="00237822">
              <w:rPr>
                <w:rFonts w:asciiTheme="minorHAnsi" w:hAnsiTheme="minorHAnsi"/>
                <w:b w:val="0"/>
                <w:color w:val="auto"/>
              </w:rPr>
              <w:t xml:space="preserve"> a</w:t>
            </w:r>
            <w:r w:rsidR="002A1E22" w:rsidRPr="00237822">
              <w:rPr>
                <w:rFonts w:asciiTheme="minorHAnsi" w:hAnsiTheme="minorHAnsi"/>
                <w:b w:val="0"/>
                <w:color w:val="auto"/>
              </w:rPr>
              <w:t>cquire discounts.</w:t>
            </w:r>
          </w:p>
        </w:tc>
      </w:tr>
      <w:tr w:rsidR="002A1E22" w:rsidRPr="007D0DCD" w14:paraId="223015D7" w14:textId="77777777" w:rsidTr="05EFFE67">
        <w:tc>
          <w:tcPr>
            <w:tcW w:w="817" w:type="dxa"/>
            <w:tcBorders>
              <w:top w:val="nil"/>
              <w:left w:val="nil"/>
              <w:bottom w:val="nil"/>
              <w:right w:val="nil"/>
            </w:tcBorders>
          </w:tcPr>
          <w:p w14:paraId="3964629C" w14:textId="77777777" w:rsidR="002A1E22" w:rsidRPr="007D0DCD" w:rsidRDefault="002A1E22" w:rsidP="002A1E22">
            <w:pPr>
              <w:rPr>
                <w:rFonts w:ascii="Calibri" w:eastAsia="Times New Roman" w:hAnsi="Calibri" w:cs="Arial"/>
                <w:szCs w:val="20"/>
                <w:lang w:eastAsia="en-GB"/>
              </w:rPr>
            </w:pPr>
          </w:p>
        </w:tc>
        <w:tc>
          <w:tcPr>
            <w:tcW w:w="8816" w:type="dxa"/>
            <w:tcBorders>
              <w:top w:val="nil"/>
              <w:left w:val="nil"/>
              <w:bottom w:val="nil"/>
              <w:right w:val="nil"/>
            </w:tcBorders>
          </w:tcPr>
          <w:p w14:paraId="5B27D555" w14:textId="77777777" w:rsidR="002A1E22" w:rsidRPr="007D0DCD" w:rsidRDefault="002A1E22" w:rsidP="002A1E22">
            <w:pPr>
              <w:rPr>
                <w:rFonts w:ascii="Calibri" w:eastAsia="Times New Roman" w:hAnsi="Calibri" w:cs="Arial"/>
                <w:szCs w:val="20"/>
                <w:lang w:eastAsia="en-GB"/>
              </w:rPr>
            </w:pPr>
          </w:p>
        </w:tc>
      </w:tr>
      <w:tr w:rsidR="002A1E22" w:rsidRPr="007D0DCD" w14:paraId="7522C3B4" w14:textId="77777777" w:rsidTr="05EFFE67">
        <w:tc>
          <w:tcPr>
            <w:tcW w:w="817" w:type="dxa"/>
            <w:tcBorders>
              <w:top w:val="nil"/>
              <w:left w:val="nil"/>
              <w:bottom w:val="nil"/>
              <w:right w:val="nil"/>
            </w:tcBorders>
          </w:tcPr>
          <w:p w14:paraId="29C2AB87" w14:textId="77777777" w:rsidR="002A1E22" w:rsidRPr="003C1B99" w:rsidRDefault="002A1E22" w:rsidP="002A1E22">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C3B2C64" w14:textId="43E290B7" w:rsidR="002A1E22" w:rsidRPr="002A1E22" w:rsidRDefault="157AF2EE" w:rsidP="002A1E22">
            <w:pPr>
              <w:rPr>
                <w:rFonts w:ascii="Calibri"/>
                <w:spacing w:val="-1"/>
              </w:rPr>
            </w:pPr>
            <w:r>
              <w:rPr>
                <w:rFonts w:ascii="Calibri"/>
                <w:spacing w:val="-1"/>
              </w:rPr>
              <w:t>The Trust</w:t>
            </w:r>
            <w:r w:rsidRPr="001F5B00">
              <w:rPr>
                <w:rFonts w:ascii="Calibri"/>
                <w:spacing w:val="-1"/>
              </w:rPr>
              <w:t xml:space="preserve"> take</w:t>
            </w:r>
            <w:r>
              <w:rPr>
                <w:rFonts w:ascii="Calibri"/>
                <w:spacing w:val="-1"/>
              </w:rPr>
              <w:t>s</w:t>
            </w:r>
            <w:r w:rsidRPr="001F5B00">
              <w:rPr>
                <w:rFonts w:ascii="Calibri"/>
                <w:spacing w:val="-1"/>
              </w:rPr>
              <w:t xml:space="preserve"> tenancy fraud seriously and will </w:t>
            </w:r>
            <w:bookmarkStart w:id="18" w:name="_Int_Vlli7IWK"/>
            <w:r w:rsidRPr="001F5B00">
              <w:rPr>
                <w:rFonts w:ascii="Calibri"/>
                <w:spacing w:val="-1"/>
              </w:rPr>
              <w:t>take action</w:t>
            </w:r>
            <w:bookmarkEnd w:id="18"/>
            <w:r w:rsidRPr="001F5B00">
              <w:rPr>
                <w:rFonts w:ascii="Calibri"/>
                <w:spacing w:val="-1"/>
              </w:rPr>
              <w:t xml:space="preserve"> </w:t>
            </w:r>
            <w:r w:rsidR="11D3E15F">
              <w:rPr>
                <w:rFonts w:ascii="Calibri"/>
                <w:spacing w:val="-1"/>
              </w:rPr>
              <w:t xml:space="preserve">which may include action to </w:t>
            </w:r>
            <w:r w:rsidRPr="001F5B00">
              <w:rPr>
                <w:rFonts w:ascii="Calibri"/>
                <w:spacing w:val="-1"/>
              </w:rPr>
              <w:t>regain possession of properties and recover any unlawful profits made by residents wherever we find evidence of tenancy fraud. Our right to do this has been enforced by the government in The Prevention of Social Housing Fraud Act 2013</w:t>
            </w:r>
            <w:r>
              <w:rPr>
                <w:rFonts w:ascii="Calibri"/>
                <w:spacing w:val="-1"/>
              </w:rPr>
              <w:t>.</w:t>
            </w:r>
          </w:p>
        </w:tc>
      </w:tr>
      <w:tr w:rsidR="002A1E22" w:rsidRPr="007D0DCD" w14:paraId="14F8572E" w14:textId="77777777" w:rsidTr="05EFFE67">
        <w:tc>
          <w:tcPr>
            <w:tcW w:w="817" w:type="dxa"/>
            <w:tcBorders>
              <w:top w:val="nil"/>
              <w:left w:val="nil"/>
              <w:bottom w:val="nil"/>
              <w:right w:val="nil"/>
            </w:tcBorders>
          </w:tcPr>
          <w:p w14:paraId="51BAC641" w14:textId="77777777" w:rsidR="002A1E22" w:rsidRPr="007D0DCD" w:rsidRDefault="002A1E22" w:rsidP="002A1E22">
            <w:pPr>
              <w:rPr>
                <w:rFonts w:ascii="Calibri" w:eastAsia="Times New Roman" w:hAnsi="Calibri" w:cs="Arial"/>
                <w:szCs w:val="20"/>
                <w:lang w:eastAsia="en-GB"/>
              </w:rPr>
            </w:pPr>
          </w:p>
        </w:tc>
        <w:tc>
          <w:tcPr>
            <w:tcW w:w="8816" w:type="dxa"/>
            <w:tcBorders>
              <w:top w:val="nil"/>
              <w:left w:val="nil"/>
              <w:bottom w:val="nil"/>
              <w:right w:val="nil"/>
            </w:tcBorders>
          </w:tcPr>
          <w:p w14:paraId="05547AD1" w14:textId="77777777" w:rsidR="002A1E22" w:rsidRPr="007D0DCD" w:rsidRDefault="002A1E22" w:rsidP="002A1E22">
            <w:pPr>
              <w:rPr>
                <w:rFonts w:ascii="Calibri" w:eastAsia="Times New Roman" w:hAnsi="Calibri" w:cs="Arial"/>
                <w:szCs w:val="20"/>
                <w:lang w:eastAsia="en-GB"/>
              </w:rPr>
            </w:pPr>
          </w:p>
        </w:tc>
      </w:tr>
      <w:tr w:rsidR="002A1E22" w:rsidRPr="007D0DCD" w14:paraId="315FC48B" w14:textId="77777777" w:rsidTr="05EFFE67">
        <w:tc>
          <w:tcPr>
            <w:tcW w:w="817" w:type="dxa"/>
            <w:tcBorders>
              <w:top w:val="nil"/>
              <w:left w:val="nil"/>
              <w:bottom w:val="nil"/>
              <w:right w:val="nil"/>
            </w:tcBorders>
          </w:tcPr>
          <w:p w14:paraId="06991B17" w14:textId="77777777" w:rsidR="002A1E22" w:rsidRPr="003C1B99" w:rsidRDefault="002A1E22" w:rsidP="002A1E22">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E24DD81" w14:textId="77777777" w:rsidR="002A1E22" w:rsidRPr="00145D4D" w:rsidRDefault="002A1E22" w:rsidP="002A1E22">
            <w:pPr>
              <w:rPr>
                <w:rFonts w:ascii="Calibri" w:hAnsi="Calibri"/>
                <w:spacing w:val="-1"/>
              </w:rPr>
            </w:pPr>
            <w:r w:rsidRPr="00145D4D">
              <w:rPr>
                <w:rFonts w:ascii="Calibri" w:hAnsi="Calibri"/>
                <w:spacing w:val="-1"/>
              </w:rPr>
              <w:t>The process has three key stages:</w:t>
            </w:r>
          </w:p>
          <w:p w14:paraId="6752A4F5" w14:textId="77777777" w:rsidR="002A1E22" w:rsidRPr="00145D4D" w:rsidRDefault="002A1E22" w:rsidP="002A1E22">
            <w:pPr>
              <w:rPr>
                <w:rFonts w:ascii="Calibri" w:hAnsi="Calibri"/>
                <w:spacing w:val="-1"/>
              </w:rPr>
            </w:pPr>
          </w:p>
          <w:p w14:paraId="688F3806" w14:textId="2B5457A6" w:rsidR="002A1E22" w:rsidRPr="00145D4D" w:rsidRDefault="002A1E22" w:rsidP="002A1E22">
            <w:pPr>
              <w:pStyle w:val="ListParagraph"/>
              <w:numPr>
                <w:ilvl w:val="0"/>
                <w:numId w:val="24"/>
              </w:numPr>
              <w:rPr>
                <w:b w:val="0"/>
                <w:color w:val="auto"/>
                <w:spacing w:val="-1"/>
              </w:rPr>
            </w:pPr>
            <w:r w:rsidRPr="00145D4D">
              <w:rPr>
                <w:b w:val="0"/>
                <w:color w:val="auto"/>
                <w:spacing w:val="-1"/>
              </w:rPr>
              <w:t xml:space="preserve">Preventing fraud - publicising/communicating what fraud is and the consequences of committing </w:t>
            </w:r>
            <w:r w:rsidR="00B056B9" w:rsidRPr="00145D4D">
              <w:rPr>
                <w:b w:val="0"/>
                <w:color w:val="auto"/>
                <w:spacing w:val="-1"/>
              </w:rPr>
              <w:t>fraud.</w:t>
            </w:r>
          </w:p>
          <w:p w14:paraId="59652308" w14:textId="77777777" w:rsidR="002A1E22" w:rsidRPr="00145D4D" w:rsidRDefault="002A1E22" w:rsidP="002A1E22">
            <w:pPr>
              <w:pStyle w:val="ListParagraph"/>
              <w:numPr>
                <w:ilvl w:val="0"/>
                <w:numId w:val="24"/>
              </w:numPr>
              <w:rPr>
                <w:b w:val="0"/>
                <w:color w:val="auto"/>
                <w:spacing w:val="-1"/>
              </w:rPr>
            </w:pPr>
            <w:r w:rsidRPr="00145D4D">
              <w:rPr>
                <w:b w:val="0"/>
                <w:color w:val="auto"/>
                <w:spacing w:val="-1"/>
              </w:rPr>
              <w:t>Identifying fraud</w:t>
            </w:r>
            <w:r>
              <w:rPr>
                <w:b w:val="0"/>
                <w:color w:val="auto"/>
                <w:spacing w:val="-1"/>
              </w:rPr>
              <w:t xml:space="preserve"> - t</w:t>
            </w:r>
            <w:r w:rsidRPr="00145D4D">
              <w:rPr>
                <w:b w:val="0"/>
                <w:color w:val="auto"/>
                <w:spacing w:val="-1"/>
              </w:rPr>
              <w:t>he methods and practices used to identify potential fraud.</w:t>
            </w:r>
          </w:p>
          <w:p w14:paraId="17FDD67B" w14:textId="547C84CA" w:rsidR="002A1E22" w:rsidRPr="00145D4D" w:rsidRDefault="002A1E22" w:rsidP="002A1E22">
            <w:pPr>
              <w:pStyle w:val="ListParagraph"/>
              <w:numPr>
                <w:ilvl w:val="0"/>
                <w:numId w:val="24"/>
              </w:numPr>
              <w:rPr>
                <w:b w:val="0"/>
                <w:color w:val="auto"/>
                <w:spacing w:val="-1"/>
              </w:rPr>
            </w:pPr>
            <w:r>
              <w:rPr>
                <w:b w:val="0"/>
                <w:color w:val="auto"/>
                <w:spacing w:val="-1"/>
              </w:rPr>
              <w:t xml:space="preserve">Enforcement - </w:t>
            </w:r>
            <w:r w:rsidRPr="00145D4D">
              <w:rPr>
                <w:b w:val="0"/>
                <w:color w:val="auto"/>
                <w:spacing w:val="-1"/>
              </w:rPr>
              <w:t xml:space="preserve">using all appropriate legal powers to stop fraud and deter </w:t>
            </w:r>
            <w:r w:rsidR="00B056B9" w:rsidRPr="00145D4D">
              <w:rPr>
                <w:b w:val="0"/>
                <w:color w:val="auto"/>
                <w:spacing w:val="-1"/>
              </w:rPr>
              <w:t>others.</w:t>
            </w:r>
          </w:p>
          <w:p w14:paraId="0019E7BB" w14:textId="77777777" w:rsidR="002A1E22" w:rsidRPr="00145D4D" w:rsidRDefault="002A1E22" w:rsidP="002A1E22">
            <w:pPr>
              <w:rPr>
                <w:rFonts w:hAnsi="Calibri"/>
                <w:spacing w:val="-1"/>
              </w:rPr>
            </w:pPr>
          </w:p>
          <w:p w14:paraId="7CDBA980" w14:textId="77777777" w:rsidR="002A1E22" w:rsidRDefault="002A1E22" w:rsidP="002A1E22">
            <w:pPr>
              <w:rPr>
                <w:rFonts w:ascii="Calibri" w:hAnsi="Calibri"/>
                <w:spacing w:val="-1"/>
              </w:rPr>
            </w:pPr>
            <w:r w:rsidRPr="00145D4D">
              <w:rPr>
                <w:rFonts w:ascii="Calibri" w:hAnsi="Calibri"/>
                <w:spacing w:val="-1"/>
              </w:rPr>
              <w:t>All staff have a responsibility to prevent, identify and deal with fraud. Neighbourhood staff have primary responsibility for investigating and dealing with fraud.</w:t>
            </w:r>
          </w:p>
          <w:p w14:paraId="3AB0F2CF" w14:textId="77777777" w:rsidR="002A1E22" w:rsidRPr="00CC18FE" w:rsidRDefault="002A1E22" w:rsidP="002A1E22">
            <w:pPr>
              <w:pStyle w:val="ListBullet1"/>
              <w:numPr>
                <w:ilvl w:val="0"/>
                <w:numId w:val="0"/>
              </w:numPr>
              <w:rPr>
                <w:rFonts w:ascii="Calibri" w:hAnsi="Calibri"/>
                <w:lang w:eastAsia="en-GB"/>
              </w:rPr>
            </w:pPr>
          </w:p>
        </w:tc>
      </w:tr>
      <w:tr w:rsidR="002A1E22" w:rsidRPr="007D0DCD" w14:paraId="251C7E9F" w14:textId="77777777" w:rsidTr="05EFFE67">
        <w:tc>
          <w:tcPr>
            <w:tcW w:w="817" w:type="dxa"/>
            <w:tcBorders>
              <w:top w:val="nil"/>
              <w:left w:val="nil"/>
              <w:bottom w:val="nil"/>
              <w:right w:val="nil"/>
            </w:tcBorders>
          </w:tcPr>
          <w:p w14:paraId="7D2950D7" w14:textId="77777777" w:rsidR="002A1E22" w:rsidRPr="003C1B99" w:rsidRDefault="002A1E22" w:rsidP="002A1E22">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50F4024" w14:textId="77777777" w:rsidR="002A1E22" w:rsidRPr="00CC18FE" w:rsidRDefault="002A1E22" w:rsidP="002A1E22">
            <w:pPr>
              <w:pStyle w:val="ListBullet1"/>
              <w:numPr>
                <w:ilvl w:val="0"/>
                <w:numId w:val="0"/>
              </w:numPr>
              <w:rPr>
                <w:rFonts w:ascii="Calibri" w:hAnsi="Calibri"/>
                <w:lang w:eastAsia="en-GB"/>
              </w:rPr>
            </w:pPr>
          </w:p>
        </w:tc>
      </w:tr>
      <w:tr w:rsidR="002A1E22" w:rsidRPr="007D0DCD" w14:paraId="65630D61" w14:textId="77777777" w:rsidTr="05EFFE67">
        <w:tc>
          <w:tcPr>
            <w:tcW w:w="817" w:type="dxa"/>
            <w:tcBorders>
              <w:top w:val="nil"/>
              <w:left w:val="nil"/>
              <w:bottom w:val="nil"/>
              <w:right w:val="nil"/>
            </w:tcBorders>
          </w:tcPr>
          <w:p w14:paraId="51324F8F" w14:textId="77777777" w:rsidR="002A1E22" w:rsidRPr="003C1B99" w:rsidRDefault="002A1E22" w:rsidP="002A1E22">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4A257AD" w14:textId="77777777" w:rsidR="002A1E22" w:rsidRPr="00145D4D" w:rsidRDefault="002A1E22" w:rsidP="002A1E22">
            <w:pPr>
              <w:rPr>
                <w:rFonts w:ascii="Calibri" w:hAnsi="Calibri"/>
                <w:spacing w:val="-1"/>
                <w:u w:val="single"/>
              </w:rPr>
            </w:pPr>
            <w:r w:rsidRPr="00145D4D">
              <w:rPr>
                <w:rFonts w:ascii="Calibri" w:hAnsi="Calibri"/>
                <w:spacing w:val="-1"/>
                <w:u w:val="single"/>
              </w:rPr>
              <w:t>Preventing fraud</w:t>
            </w:r>
          </w:p>
          <w:p w14:paraId="230A6609" w14:textId="77777777" w:rsidR="002A1E22" w:rsidRPr="00145D4D" w:rsidRDefault="002A1E22" w:rsidP="002A1E22">
            <w:pPr>
              <w:rPr>
                <w:rFonts w:ascii="Calibri" w:hAnsi="Calibri"/>
                <w:spacing w:val="-1"/>
                <w:u w:val="single"/>
              </w:rPr>
            </w:pPr>
          </w:p>
          <w:p w14:paraId="60F9271B" w14:textId="77777777" w:rsidR="002A1E22" w:rsidRPr="00145D4D" w:rsidRDefault="002A1E22" w:rsidP="002A1E22">
            <w:pPr>
              <w:rPr>
                <w:rFonts w:ascii="Calibri" w:hAnsi="Calibri"/>
                <w:spacing w:val="-1"/>
              </w:rPr>
            </w:pPr>
            <w:r w:rsidRPr="00145D4D">
              <w:rPr>
                <w:rFonts w:ascii="Calibri" w:hAnsi="Calibri"/>
                <w:spacing w:val="-1"/>
              </w:rPr>
              <w:t>Publicity/information: The Trust will prevent fraud by informing tenants what fraud is and what the consequences will be of any fraudulent activity relating to the tenancy. Tenants are informed as follows:</w:t>
            </w:r>
          </w:p>
          <w:p w14:paraId="515E2DB8" w14:textId="77777777" w:rsidR="002A1E22" w:rsidRPr="00145D4D" w:rsidRDefault="002A1E22" w:rsidP="002A1E22">
            <w:pPr>
              <w:pStyle w:val="ListParagraph"/>
              <w:numPr>
                <w:ilvl w:val="0"/>
                <w:numId w:val="25"/>
              </w:numPr>
              <w:rPr>
                <w:b w:val="0"/>
                <w:color w:val="auto"/>
                <w:spacing w:val="-1"/>
              </w:rPr>
            </w:pPr>
            <w:r w:rsidRPr="00145D4D">
              <w:rPr>
                <w:b w:val="0"/>
                <w:color w:val="auto"/>
                <w:spacing w:val="-1"/>
              </w:rPr>
              <w:t>At the tenancy sign up meeting.</w:t>
            </w:r>
          </w:p>
          <w:p w14:paraId="250CCFCD" w14:textId="47FF17CB" w:rsidR="002A1E22" w:rsidRDefault="002A1E22" w:rsidP="002A1E22">
            <w:pPr>
              <w:pStyle w:val="ListParagraph"/>
              <w:numPr>
                <w:ilvl w:val="0"/>
                <w:numId w:val="25"/>
              </w:numPr>
              <w:rPr>
                <w:b w:val="0"/>
                <w:color w:val="auto"/>
                <w:spacing w:val="-1"/>
              </w:rPr>
            </w:pPr>
            <w:r w:rsidRPr="00145D4D">
              <w:rPr>
                <w:b w:val="0"/>
                <w:color w:val="auto"/>
                <w:spacing w:val="-1"/>
              </w:rPr>
              <w:t>Website and periodic social media campaigns</w:t>
            </w:r>
            <w:r w:rsidR="00B056B9">
              <w:rPr>
                <w:b w:val="0"/>
                <w:color w:val="auto"/>
                <w:spacing w:val="-1"/>
              </w:rPr>
              <w:t>.</w:t>
            </w:r>
          </w:p>
          <w:p w14:paraId="5B088E4B" w14:textId="20409B7E" w:rsidR="009855DF" w:rsidRPr="00145D4D" w:rsidRDefault="009855DF" w:rsidP="002A1E22">
            <w:pPr>
              <w:pStyle w:val="ListParagraph"/>
              <w:numPr>
                <w:ilvl w:val="0"/>
                <w:numId w:val="25"/>
              </w:numPr>
              <w:rPr>
                <w:b w:val="0"/>
                <w:color w:val="auto"/>
                <w:spacing w:val="-1"/>
              </w:rPr>
            </w:pPr>
            <w:r>
              <w:rPr>
                <w:b w:val="0"/>
                <w:color w:val="auto"/>
                <w:spacing w:val="-1"/>
              </w:rPr>
              <w:t>Periodic articles in Plain Speaking</w:t>
            </w:r>
            <w:r w:rsidR="00B056B9">
              <w:rPr>
                <w:b w:val="0"/>
                <w:color w:val="auto"/>
                <w:spacing w:val="-1"/>
              </w:rPr>
              <w:t>.</w:t>
            </w:r>
          </w:p>
          <w:p w14:paraId="6A80CD83" w14:textId="77777777" w:rsidR="002A1E22" w:rsidRPr="00145D4D" w:rsidRDefault="002A1E22" w:rsidP="002A1E22">
            <w:pPr>
              <w:rPr>
                <w:rFonts w:ascii="Calibri" w:hAnsi="Calibri"/>
                <w:spacing w:val="-1"/>
              </w:rPr>
            </w:pPr>
          </w:p>
          <w:p w14:paraId="6A591B64" w14:textId="38ADFA7D" w:rsidR="002A1E22" w:rsidRDefault="157AF2EE" w:rsidP="002A1E22">
            <w:pPr>
              <w:rPr>
                <w:rFonts w:ascii="Calibri" w:hAnsi="Calibri"/>
                <w:spacing w:val="-1"/>
              </w:rPr>
            </w:pPr>
            <w:r>
              <w:rPr>
                <w:rFonts w:ascii="Calibri" w:hAnsi="Calibri"/>
                <w:spacing w:val="-1"/>
              </w:rPr>
              <w:t xml:space="preserve">The Trust </w:t>
            </w:r>
            <w:r w:rsidR="2C0CC0B7">
              <w:rPr>
                <w:rFonts w:ascii="Calibri" w:hAnsi="Calibri"/>
                <w:spacing w:val="-1"/>
              </w:rPr>
              <w:t>may</w:t>
            </w:r>
            <w:r w:rsidRPr="00145D4D">
              <w:rPr>
                <w:rFonts w:ascii="Calibri" w:hAnsi="Calibri"/>
                <w:spacing w:val="-1"/>
              </w:rPr>
              <w:t xml:space="preserve"> publicise actions taken to deal with fraud, </w:t>
            </w:r>
            <w:r w:rsidR="1F790F96">
              <w:rPr>
                <w:rFonts w:ascii="Calibri" w:hAnsi="Calibri"/>
                <w:spacing w:val="-1"/>
              </w:rPr>
              <w:t>to</w:t>
            </w:r>
            <w:r w:rsidRPr="00145D4D">
              <w:rPr>
                <w:rFonts w:ascii="Calibri" w:hAnsi="Calibri"/>
                <w:spacing w:val="-1"/>
              </w:rPr>
              <w:t xml:space="preserve"> deter future fraud.</w:t>
            </w:r>
          </w:p>
          <w:p w14:paraId="777CAE61" w14:textId="77777777" w:rsidR="002A1E22" w:rsidRDefault="002A1E22" w:rsidP="002A1E22">
            <w:pPr>
              <w:rPr>
                <w:rFonts w:ascii="Calibri" w:hAnsi="Calibri"/>
                <w:spacing w:val="-1"/>
              </w:rPr>
            </w:pPr>
          </w:p>
          <w:p w14:paraId="770CFF30" w14:textId="77777777" w:rsidR="000847E0" w:rsidRDefault="000847E0" w:rsidP="000847E0">
            <w:r>
              <w:t xml:space="preserve">To reduce the risk of tenancy fraud The Trust will verify the identity and occupation history of all prospective tenant(s) if they have: </w:t>
            </w:r>
          </w:p>
          <w:p w14:paraId="72DE70E0" w14:textId="784240BD" w:rsidR="000847E0" w:rsidRPr="00237822" w:rsidRDefault="0A60BA68" w:rsidP="00237822">
            <w:pPr>
              <w:pStyle w:val="ListParagraph"/>
              <w:numPr>
                <w:ilvl w:val="0"/>
                <w:numId w:val="25"/>
              </w:numPr>
              <w:rPr>
                <w:b w:val="0"/>
                <w:color w:val="auto"/>
                <w:spacing w:val="-1"/>
              </w:rPr>
            </w:pPr>
            <w:r w:rsidRPr="00237822">
              <w:rPr>
                <w:b w:val="0"/>
                <w:color w:val="auto"/>
                <w:spacing w:val="-1"/>
              </w:rPr>
              <w:t xml:space="preserve">Accepted an offer of accommodation from us through the local authority </w:t>
            </w:r>
            <w:r w:rsidR="437D07E0" w:rsidRPr="00237822">
              <w:rPr>
                <w:b w:val="0"/>
                <w:color w:val="auto"/>
                <w:spacing w:val="-1"/>
              </w:rPr>
              <w:t>choice-based</w:t>
            </w:r>
            <w:r w:rsidRPr="00237822">
              <w:rPr>
                <w:b w:val="0"/>
                <w:color w:val="auto"/>
                <w:spacing w:val="-1"/>
              </w:rPr>
              <w:t xml:space="preserve"> lettings </w:t>
            </w:r>
            <w:r w:rsidR="00B056B9" w:rsidRPr="00237822">
              <w:rPr>
                <w:b w:val="0"/>
                <w:color w:val="auto"/>
                <w:spacing w:val="-1"/>
              </w:rPr>
              <w:t>scheme.</w:t>
            </w:r>
          </w:p>
          <w:p w14:paraId="5B4DD623" w14:textId="190A6C44" w:rsidR="003A331B" w:rsidRPr="00237822" w:rsidRDefault="003A331B" w:rsidP="00237822">
            <w:pPr>
              <w:pStyle w:val="ListParagraph"/>
              <w:numPr>
                <w:ilvl w:val="0"/>
                <w:numId w:val="25"/>
              </w:numPr>
              <w:rPr>
                <w:b w:val="0"/>
                <w:color w:val="auto"/>
                <w:spacing w:val="-1"/>
              </w:rPr>
            </w:pPr>
            <w:r w:rsidRPr="00237822">
              <w:rPr>
                <w:b w:val="0"/>
                <w:color w:val="auto"/>
                <w:spacing w:val="-1"/>
              </w:rPr>
              <w:t xml:space="preserve">Applied for </w:t>
            </w:r>
            <w:r w:rsidR="00F13F49" w:rsidRPr="00237822">
              <w:rPr>
                <w:b w:val="0"/>
                <w:color w:val="auto"/>
                <w:spacing w:val="-1"/>
              </w:rPr>
              <w:t xml:space="preserve">Market Rent, PRS or Rent to Buy </w:t>
            </w:r>
            <w:r w:rsidR="00B056B9" w:rsidRPr="00237822">
              <w:rPr>
                <w:b w:val="0"/>
                <w:color w:val="auto"/>
                <w:spacing w:val="-1"/>
              </w:rPr>
              <w:t>properties.</w:t>
            </w:r>
          </w:p>
          <w:p w14:paraId="17E9CE63" w14:textId="0A3654F6" w:rsidR="000847E0" w:rsidRPr="00237822" w:rsidRDefault="000847E0" w:rsidP="00237822">
            <w:pPr>
              <w:pStyle w:val="ListParagraph"/>
              <w:numPr>
                <w:ilvl w:val="0"/>
                <w:numId w:val="25"/>
              </w:numPr>
              <w:rPr>
                <w:b w:val="0"/>
                <w:color w:val="auto"/>
                <w:spacing w:val="-1"/>
              </w:rPr>
            </w:pPr>
            <w:r w:rsidRPr="00237822">
              <w:rPr>
                <w:b w:val="0"/>
                <w:color w:val="auto"/>
                <w:spacing w:val="-1"/>
              </w:rPr>
              <w:t xml:space="preserve">Been offered accommodation through an exceptional </w:t>
            </w:r>
            <w:r w:rsidR="00B056B9" w:rsidRPr="00237822">
              <w:rPr>
                <w:b w:val="0"/>
                <w:color w:val="auto"/>
                <w:spacing w:val="-1"/>
              </w:rPr>
              <w:t>let.</w:t>
            </w:r>
            <w:r w:rsidRPr="00237822">
              <w:rPr>
                <w:b w:val="0"/>
                <w:color w:val="auto"/>
                <w:spacing w:val="-1"/>
              </w:rPr>
              <w:t xml:space="preserve"> </w:t>
            </w:r>
          </w:p>
          <w:p w14:paraId="5BE5318E" w14:textId="616628D9" w:rsidR="000847E0" w:rsidRPr="00237822" w:rsidRDefault="000847E0" w:rsidP="00237822">
            <w:pPr>
              <w:pStyle w:val="ListParagraph"/>
              <w:numPr>
                <w:ilvl w:val="0"/>
                <w:numId w:val="25"/>
              </w:numPr>
              <w:rPr>
                <w:b w:val="0"/>
                <w:color w:val="auto"/>
                <w:spacing w:val="-1"/>
              </w:rPr>
            </w:pPr>
            <w:r w:rsidRPr="00237822">
              <w:rPr>
                <w:b w:val="0"/>
                <w:color w:val="auto"/>
                <w:spacing w:val="-1"/>
              </w:rPr>
              <w:t>Made an application for the Right to Buy or Right to Acquire</w:t>
            </w:r>
            <w:r w:rsidR="00B056B9">
              <w:rPr>
                <w:b w:val="0"/>
                <w:color w:val="auto"/>
                <w:spacing w:val="-1"/>
              </w:rPr>
              <w:t>.</w:t>
            </w:r>
            <w:r w:rsidRPr="00237822">
              <w:rPr>
                <w:b w:val="0"/>
                <w:color w:val="auto"/>
                <w:spacing w:val="-1"/>
              </w:rPr>
              <w:t xml:space="preserve"> </w:t>
            </w:r>
          </w:p>
          <w:p w14:paraId="735893F5" w14:textId="3C1409F5" w:rsidR="000847E0" w:rsidRPr="00237822" w:rsidRDefault="000847E0" w:rsidP="00237822">
            <w:pPr>
              <w:pStyle w:val="ListParagraph"/>
              <w:numPr>
                <w:ilvl w:val="0"/>
                <w:numId w:val="25"/>
              </w:numPr>
              <w:rPr>
                <w:b w:val="0"/>
                <w:color w:val="auto"/>
                <w:spacing w:val="-1"/>
              </w:rPr>
            </w:pPr>
            <w:r w:rsidRPr="00237822">
              <w:rPr>
                <w:b w:val="0"/>
                <w:color w:val="auto"/>
                <w:spacing w:val="-1"/>
              </w:rPr>
              <w:t xml:space="preserve">Requested to assign their </w:t>
            </w:r>
            <w:r w:rsidR="00B056B9" w:rsidRPr="00237822">
              <w:rPr>
                <w:b w:val="0"/>
                <w:color w:val="auto"/>
                <w:spacing w:val="-1"/>
              </w:rPr>
              <w:t>tenancy.</w:t>
            </w:r>
            <w:r w:rsidRPr="00237822">
              <w:rPr>
                <w:b w:val="0"/>
                <w:color w:val="auto"/>
                <w:spacing w:val="-1"/>
              </w:rPr>
              <w:t xml:space="preserve"> </w:t>
            </w:r>
          </w:p>
          <w:p w14:paraId="7B16B154" w14:textId="60DD6478" w:rsidR="000847E0" w:rsidRPr="00237822" w:rsidRDefault="000847E0" w:rsidP="00237822">
            <w:pPr>
              <w:pStyle w:val="ListParagraph"/>
              <w:numPr>
                <w:ilvl w:val="0"/>
                <w:numId w:val="25"/>
              </w:numPr>
              <w:rPr>
                <w:b w:val="0"/>
                <w:color w:val="auto"/>
                <w:spacing w:val="-1"/>
              </w:rPr>
            </w:pPr>
            <w:r w:rsidRPr="00237822">
              <w:rPr>
                <w:b w:val="0"/>
                <w:color w:val="auto"/>
                <w:spacing w:val="-1"/>
              </w:rPr>
              <w:t xml:space="preserve">Requested to succeed a </w:t>
            </w:r>
            <w:r w:rsidR="00B056B9" w:rsidRPr="00237822">
              <w:rPr>
                <w:b w:val="0"/>
                <w:color w:val="auto"/>
                <w:spacing w:val="-1"/>
              </w:rPr>
              <w:t>tenancy.</w:t>
            </w:r>
            <w:r w:rsidRPr="00237822">
              <w:rPr>
                <w:b w:val="0"/>
                <w:color w:val="auto"/>
                <w:spacing w:val="-1"/>
              </w:rPr>
              <w:t xml:space="preserve"> </w:t>
            </w:r>
          </w:p>
          <w:p w14:paraId="053AC464" w14:textId="274347FD" w:rsidR="002A1E22" w:rsidRPr="00237822" w:rsidRDefault="000847E0" w:rsidP="00237822">
            <w:pPr>
              <w:pStyle w:val="ListParagraph"/>
              <w:numPr>
                <w:ilvl w:val="0"/>
                <w:numId w:val="25"/>
              </w:numPr>
              <w:rPr>
                <w:b w:val="0"/>
                <w:color w:val="auto"/>
                <w:spacing w:val="-1"/>
              </w:rPr>
            </w:pPr>
            <w:r w:rsidRPr="00237822">
              <w:rPr>
                <w:b w:val="0"/>
                <w:color w:val="auto"/>
                <w:spacing w:val="-1"/>
              </w:rPr>
              <w:t xml:space="preserve">Been party to a mutual exchange </w:t>
            </w:r>
            <w:r w:rsidR="00B056B9" w:rsidRPr="00237822">
              <w:rPr>
                <w:b w:val="0"/>
                <w:color w:val="auto"/>
                <w:spacing w:val="-1"/>
              </w:rPr>
              <w:t>application.</w:t>
            </w:r>
          </w:p>
          <w:p w14:paraId="3A8CDB43" w14:textId="77777777" w:rsidR="002A1E22" w:rsidRDefault="002A1E22" w:rsidP="002A1E22">
            <w:pPr>
              <w:rPr>
                <w:rFonts w:ascii="Calibri" w:hAnsi="Calibri"/>
                <w:spacing w:val="-1"/>
              </w:rPr>
            </w:pPr>
          </w:p>
          <w:p w14:paraId="12230AD3" w14:textId="5B2D7439" w:rsidR="002A1E22" w:rsidRPr="00B056B9" w:rsidRDefault="157AF2EE" w:rsidP="00B056B9">
            <w:pPr>
              <w:rPr>
                <w:rFonts w:ascii="Calibri" w:hAnsi="Calibri"/>
                <w:spacing w:val="-1"/>
              </w:rPr>
            </w:pPr>
            <w:r>
              <w:rPr>
                <w:rFonts w:ascii="Calibri" w:hAnsi="Calibri"/>
                <w:spacing w:val="-1"/>
              </w:rPr>
              <w:t xml:space="preserve">The Trust will require the National Insurance number of all adults in the household, as a means of preventing tenancy fraud. This requirement includes mutual exchanges, </w:t>
            </w:r>
            <w:r w:rsidR="37CBDA6A">
              <w:rPr>
                <w:rFonts w:ascii="Calibri" w:hAnsi="Calibri"/>
                <w:spacing w:val="-1"/>
              </w:rPr>
              <w:t>assignment,</w:t>
            </w:r>
            <w:r>
              <w:rPr>
                <w:rFonts w:ascii="Calibri" w:hAnsi="Calibri"/>
                <w:spacing w:val="-1"/>
              </w:rPr>
              <w:t xml:space="preserve"> and successions.</w:t>
            </w:r>
          </w:p>
        </w:tc>
      </w:tr>
      <w:tr w:rsidR="002A1E22" w:rsidRPr="007D0DCD" w14:paraId="5FBF0834" w14:textId="77777777" w:rsidTr="05EFFE67">
        <w:tc>
          <w:tcPr>
            <w:tcW w:w="817" w:type="dxa"/>
            <w:tcBorders>
              <w:top w:val="nil"/>
              <w:left w:val="nil"/>
              <w:bottom w:val="nil"/>
              <w:right w:val="nil"/>
            </w:tcBorders>
          </w:tcPr>
          <w:p w14:paraId="60D35667" w14:textId="77777777" w:rsidR="002A1E22" w:rsidRPr="003C1B99" w:rsidRDefault="002A1E22" w:rsidP="002A1E22">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26A6956C" w14:textId="77777777" w:rsidR="002A1E22" w:rsidRPr="00CC18FE" w:rsidRDefault="002A1E22" w:rsidP="002A1E22">
            <w:pPr>
              <w:pStyle w:val="ListBullet1"/>
              <w:numPr>
                <w:ilvl w:val="0"/>
                <w:numId w:val="0"/>
              </w:numPr>
              <w:rPr>
                <w:rFonts w:ascii="Calibri" w:hAnsi="Calibri"/>
                <w:lang w:eastAsia="en-GB"/>
              </w:rPr>
            </w:pPr>
          </w:p>
        </w:tc>
      </w:tr>
      <w:tr w:rsidR="00123A13" w:rsidRPr="007D0DCD" w14:paraId="4CB34A52" w14:textId="77777777" w:rsidTr="05EFFE67">
        <w:tc>
          <w:tcPr>
            <w:tcW w:w="817" w:type="dxa"/>
            <w:tcBorders>
              <w:top w:val="nil"/>
              <w:left w:val="nil"/>
              <w:bottom w:val="nil"/>
              <w:right w:val="nil"/>
            </w:tcBorders>
          </w:tcPr>
          <w:p w14:paraId="3EAAA708" w14:textId="77777777" w:rsidR="00123A13" w:rsidRPr="003C1B99" w:rsidRDefault="00123A13" w:rsidP="00123A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5453BE3" w14:textId="77777777" w:rsidR="00123A13" w:rsidRPr="00FC29B7" w:rsidRDefault="00123A13" w:rsidP="00123A13">
            <w:pPr>
              <w:rPr>
                <w:rFonts w:ascii="Calibri" w:hAnsi="Calibri"/>
                <w:spacing w:val="-1"/>
                <w:u w:val="single"/>
              </w:rPr>
            </w:pPr>
            <w:r w:rsidRPr="00FC29B7">
              <w:rPr>
                <w:rFonts w:ascii="Calibri" w:hAnsi="Calibri"/>
                <w:spacing w:val="-1"/>
                <w:u w:val="single"/>
              </w:rPr>
              <w:t>Identifying fraud</w:t>
            </w:r>
          </w:p>
          <w:p w14:paraId="7C17686D" w14:textId="77777777" w:rsidR="00123A13" w:rsidRPr="00FC29B7" w:rsidRDefault="00123A13" w:rsidP="00123A13">
            <w:pPr>
              <w:rPr>
                <w:rFonts w:ascii="Calibri" w:hAnsi="Calibri"/>
                <w:spacing w:val="-1"/>
                <w:u w:val="single"/>
              </w:rPr>
            </w:pPr>
          </w:p>
          <w:p w14:paraId="134DBF33" w14:textId="734C0CC8" w:rsidR="00C92862" w:rsidRDefault="20B14AEE" w:rsidP="00123A13">
            <w:r>
              <w:t xml:space="preserve">Tenancy fraud can be detected through the </w:t>
            </w:r>
            <w:r w:rsidR="103556AA">
              <w:t>day-to-day</w:t>
            </w:r>
            <w:r>
              <w:t xml:space="preserve"> activities of staff and contractors as well as information received from customers. </w:t>
            </w:r>
          </w:p>
          <w:p w14:paraId="07A2AF1D" w14:textId="77777777" w:rsidR="00C92862" w:rsidRDefault="00C92862" w:rsidP="00123A13"/>
          <w:p w14:paraId="239EA022" w14:textId="19CD9013" w:rsidR="00C92862" w:rsidRDefault="2C0CC0B7" w:rsidP="00123A13">
            <w:r>
              <w:t>W</w:t>
            </w:r>
            <w:r w:rsidR="20B14AEE">
              <w:t>e will request</w:t>
            </w:r>
            <w:r>
              <w:t xml:space="preserve"> to see</w:t>
            </w:r>
            <w:r w:rsidR="20B14AEE">
              <w:t xml:space="preserve"> ID at various stages in the tenancy which includes, but is not limited to, application for exchange, assignment, </w:t>
            </w:r>
            <w:r w:rsidR="539171C3">
              <w:t>succession,</w:t>
            </w:r>
            <w:r w:rsidR="20B14AEE">
              <w:t xml:space="preserve"> and changes to the tenancy including adding or removing an individual to</w:t>
            </w:r>
            <w:r>
              <w:t xml:space="preserve"> or</w:t>
            </w:r>
            <w:r w:rsidR="20B14AEE">
              <w:t xml:space="preserve"> from the tenancy, right to buy and right to acquire. </w:t>
            </w:r>
          </w:p>
          <w:p w14:paraId="6F75C10F" w14:textId="77777777" w:rsidR="00C92862" w:rsidRDefault="00C92862" w:rsidP="00C92862">
            <w:pPr>
              <w:rPr>
                <w:spacing w:val="-1"/>
              </w:rPr>
            </w:pPr>
          </w:p>
          <w:p w14:paraId="33D6A637" w14:textId="728E28B1" w:rsidR="00123A13" w:rsidRPr="00B056B9" w:rsidRDefault="00C92862" w:rsidP="00C92862">
            <w:pPr>
              <w:rPr>
                <w:spacing w:val="-1"/>
              </w:rPr>
            </w:pPr>
            <w:r>
              <w:rPr>
                <w:spacing w:val="-1"/>
              </w:rPr>
              <w:t>We will p</w:t>
            </w:r>
            <w:r w:rsidR="00123A13" w:rsidRPr="00C92862">
              <w:rPr>
                <w:spacing w:val="-1"/>
              </w:rPr>
              <w:t xml:space="preserve">artner with our local authorities in tackling tenancy fraud, within the parameters of data sharing </w:t>
            </w:r>
            <w:r w:rsidR="00B056B9" w:rsidRPr="00C92862">
              <w:rPr>
                <w:spacing w:val="-1"/>
              </w:rPr>
              <w:t>protocols.</w:t>
            </w:r>
          </w:p>
        </w:tc>
      </w:tr>
      <w:tr w:rsidR="00123A13" w:rsidRPr="007D0DCD" w14:paraId="05FDDCB9" w14:textId="77777777" w:rsidTr="05EFFE67">
        <w:tc>
          <w:tcPr>
            <w:tcW w:w="817" w:type="dxa"/>
            <w:tcBorders>
              <w:top w:val="nil"/>
              <w:left w:val="nil"/>
              <w:bottom w:val="nil"/>
              <w:right w:val="nil"/>
            </w:tcBorders>
          </w:tcPr>
          <w:p w14:paraId="73E6BF0E" w14:textId="77777777" w:rsidR="00123A13" w:rsidRPr="003C1B99" w:rsidRDefault="00123A13" w:rsidP="00123A13">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63C650F" w14:textId="77777777" w:rsidR="00123A13" w:rsidRPr="00CC18FE" w:rsidRDefault="00123A13" w:rsidP="00123A13">
            <w:pPr>
              <w:pStyle w:val="ListBullet1"/>
              <w:numPr>
                <w:ilvl w:val="0"/>
                <w:numId w:val="0"/>
              </w:numPr>
              <w:rPr>
                <w:rFonts w:ascii="Calibri" w:hAnsi="Calibri"/>
                <w:lang w:eastAsia="en-GB"/>
              </w:rPr>
            </w:pPr>
          </w:p>
        </w:tc>
      </w:tr>
      <w:tr w:rsidR="00123A13" w:rsidRPr="007D0DCD" w14:paraId="06C57AD2" w14:textId="77777777" w:rsidTr="05EFFE67">
        <w:tc>
          <w:tcPr>
            <w:tcW w:w="817" w:type="dxa"/>
            <w:tcBorders>
              <w:top w:val="nil"/>
              <w:left w:val="nil"/>
              <w:bottom w:val="nil"/>
              <w:right w:val="nil"/>
            </w:tcBorders>
          </w:tcPr>
          <w:p w14:paraId="77096AD0" w14:textId="77777777" w:rsidR="00123A13" w:rsidRPr="003C1B99" w:rsidRDefault="00123A13" w:rsidP="00123A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A2BCC6B" w14:textId="52BC01C4" w:rsidR="00C92862" w:rsidRDefault="20B14AEE" w:rsidP="00123A13">
            <w:pPr>
              <w:pStyle w:val="ListBullet1"/>
              <w:numPr>
                <w:ilvl w:val="0"/>
                <w:numId w:val="0"/>
              </w:numPr>
            </w:pPr>
            <w:r>
              <w:t xml:space="preserve">Sharing Data: The Trust will share (give and receive) relevant information with third parties for the purposes of preventing, </w:t>
            </w:r>
            <w:r w:rsidR="1D322B19">
              <w:t>investigating,</w:t>
            </w:r>
            <w:r>
              <w:t xml:space="preserve"> and tackling tenancy fraud. When sharing personal information, we will comply with all aspects of the General Data Protection Regulation 2018. </w:t>
            </w:r>
          </w:p>
          <w:p w14:paraId="14F7B4DE" w14:textId="77777777" w:rsidR="00C92862" w:rsidRDefault="00C92862" w:rsidP="00123A13">
            <w:pPr>
              <w:pStyle w:val="ListBullet1"/>
              <w:numPr>
                <w:ilvl w:val="0"/>
                <w:numId w:val="0"/>
              </w:numPr>
            </w:pPr>
            <w:r>
              <w:t>We will also share information:</w:t>
            </w:r>
          </w:p>
          <w:p w14:paraId="73450325" w14:textId="1C7398BE" w:rsidR="00C92862" w:rsidRPr="00237822" w:rsidRDefault="00C92862" w:rsidP="00237822">
            <w:pPr>
              <w:pStyle w:val="ListParagraph"/>
              <w:numPr>
                <w:ilvl w:val="0"/>
                <w:numId w:val="25"/>
              </w:numPr>
              <w:rPr>
                <w:b w:val="0"/>
                <w:color w:val="auto"/>
                <w:spacing w:val="-1"/>
              </w:rPr>
            </w:pPr>
            <w:r w:rsidRPr="00237822">
              <w:rPr>
                <w:b w:val="0"/>
                <w:color w:val="auto"/>
                <w:spacing w:val="-1"/>
              </w:rPr>
              <w:t xml:space="preserve">To meet our legal obligations </w:t>
            </w:r>
          </w:p>
          <w:p w14:paraId="4A9D96EE" w14:textId="77777777" w:rsidR="00237822" w:rsidRDefault="00C92862" w:rsidP="00237822">
            <w:pPr>
              <w:pStyle w:val="ListParagraph"/>
              <w:numPr>
                <w:ilvl w:val="0"/>
                <w:numId w:val="25"/>
              </w:numPr>
              <w:rPr>
                <w:b w:val="0"/>
                <w:color w:val="auto"/>
                <w:spacing w:val="-1"/>
              </w:rPr>
            </w:pPr>
            <w:r w:rsidRPr="00237822">
              <w:rPr>
                <w:b w:val="0"/>
                <w:color w:val="auto"/>
                <w:spacing w:val="-1"/>
              </w:rPr>
              <w:t xml:space="preserve">In connection with legal proceedings (or where we are instructed to do so by Court order) </w:t>
            </w:r>
          </w:p>
          <w:p w14:paraId="3F53A3F3" w14:textId="1A5BB0E2" w:rsidR="00123A13" w:rsidRPr="00237822" w:rsidRDefault="20B14AEE" w:rsidP="00237822">
            <w:pPr>
              <w:pStyle w:val="ListParagraph"/>
              <w:numPr>
                <w:ilvl w:val="0"/>
                <w:numId w:val="25"/>
              </w:numPr>
              <w:rPr>
                <w:b w:val="0"/>
                <w:color w:val="auto"/>
                <w:spacing w:val="-1"/>
              </w:rPr>
            </w:pPr>
            <w:r w:rsidRPr="00237822">
              <w:rPr>
                <w:b w:val="0"/>
                <w:color w:val="auto"/>
                <w:spacing w:val="-1"/>
              </w:rPr>
              <w:t xml:space="preserve">To protect the vital interests of an individual (in a </w:t>
            </w:r>
            <w:r w:rsidR="6D1F3DF2" w:rsidRPr="00237822">
              <w:rPr>
                <w:b w:val="0"/>
                <w:color w:val="auto"/>
                <w:spacing w:val="-1"/>
              </w:rPr>
              <w:t>life-or-death</w:t>
            </w:r>
            <w:r w:rsidRPr="00237822">
              <w:rPr>
                <w:b w:val="0"/>
                <w:color w:val="auto"/>
                <w:spacing w:val="-1"/>
              </w:rPr>
              <w:t xml:space="preserve"> situation)</w:t>
            </w:r>
          </w:p>
        </w:tc>
      </w:tr>
      <w:tr w:rsidR="00123A13" w:rsidRPr="007D0DCD" w14:paraId="7D00106B" w14:textId="77777777" w:rsidTr="05EFFE67">
        <w:tc>
          <w:tcPr>
            <w:tcW w:w="817" w:type="dxa"/>
            <w:tcBorders>
              <w:top w:val="nil"/>
              <w:left w:val="nil"/>
              <w:bottom w:val="nil"/>
              <w:right w:val="nil"/>
            </w:tcBorders>
          </w:tcPr>
          <w:p w14:paraId="09E2D52E" w14:textId="77777777" w:rsidR="00123A13" w:rsidRPr="003C1B99" w:rsidRDefault="00123A13" w:rsidP="00123A13">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5E18EB19" w14:textId="77777777" w:rsidR="00123A13" w:rsidRPr="00CC18FE" w:rsidRDefault="00123A13" w:rsidP="00123A13">
            <w:pPr>
              <w:pStyle w:val="ListBullet1"/>
              <w:numPr>
                <w:ilvl w:val="0"/>
                <w:numId w:val="0"/>
              </w:numPr>
              <w:rPr>
                <w:rFonts w:ascii="Calibri" w:hAnsi="Calibri"/>
                <w:lang w:eastAsia="en-GB"/>
              </w:rPr>
            </w:pPr>
          </w:p>
        </w:tc>
      </w:tr>
      <w:tr w:rsidR="00123A13" w:rsidRPr="007D0DCD" w14:paraId="5EDEC562" w14:textId="77777777" w:rsidTr="05EFFE67">
        <w:tc>
          <w:tcPr>
            <w:tcW w:w="817" w:type="dxa"/>
            <w:tcBorders>
              <w:top w:val="nil"/>
              <w:left w:val="nil"/>
              <w:bottom w:val="nil"/>
              <w:right w:val="nil"/>
            </w:tcBorders>
          </w:tcPr>
          <w:p w14:paraId="0682E01F" w14:textId="77777777" w:rsidR="00123A13" w:rsidRPr="003C1B99" w:rsidRDefault="00123A13" w:rsidP="00123A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769AFC1" w14:textId="77777777" w:rsidR="00D429F4" w:rsidRPr="001768D6" w:rsidRDefault="00D429F4" w:rsidP="00D429F4">
            <w:pPr>
              <w:rPr>
                <w:rFonts w:ascii="Calibri" w:hAnsi="Calibri"/>
                <w:spacing w:val="-1"/>
                <w:u w:val="single"/>
              </w:rPr>
            </w:pPr>
            <w:r w:rsidRPr="001768D6">
              <w:rPr>
                <w:rFonts w:ascii="Calibri" w:hAnsi="Calibri"/>
                <w:spacing w:val="-1"/>
                <w:u w:val="single"/>
              </w:rPr>
              <w:t>Enforcement</w:t>
            </w:r>
          </w:p>
          <w:p w14:paraId="1C885176" w14:textId="77777777" w:rsidR="00D429F4" w:rsidRPr="001768D6" w:rsidRDefault="00D429F4" w:rsidP="00D429F4">
            <w:pPr>
              <w:rPr>
                <w:rFonts w:ascii="Calibri" w:hAnsi="Calibri"/>
                <w:spacing w:val="-1"/>
              </w:rPr>
            </w:pPr>
          </w:p>
          <w:p w14:paraId="34A9E73F" w14:textId="6D555EB6" w:rsidR="00D429F4" w:rsidRPr="001768D6" w:rsidRDefault="00D429F4" w:rsidP="00D429F4">
            <w:pPr>
              <w:rPr>
                <w:rFonts w:ascii="Calibri" w:hAnsi="Calibri"/>
                <w:spacing w:val="-1"/>
              </w:rPr>
            </w:pPr>
            <w:r w:rsidRPr="001768D6">
              <w:rPr>
                <w:rFonts w:ascii="Calibri" w:hAnsi="Calibri"/>
                <w:spacing w:val="-1"/>
              </w:rPr>
              <w:t xml:space="preserve">Where it is suspected that there may be tenancy fraud the Neighbourhood team will take appropriate action. The Trust </w:t>
            </w:r>
            <w:r w:rsidR="00B056B9">
              <w:rPr>
                <w:rFonts w:ascii="Calibri" w:hAnsi="Calibri"/>
                <w:spacing w:val="-1"/>
              </w:rPr>
              <w:t>will:</w:t>
            </w:r>
          </w:p>
          <w:p w14:paraId="75192B62" w14:textId="77777777" w:rsidR="00D429F4" w:rsidRPr="001768D6" w:rsidRDefault="00D429F4" w:rsidP="00D429F4">
            <w:pPr>
              <w:rPr>
                <w:rFonts w:ascii="Calibri" w:hAnsi="Calibri"/>
                <w:spacing w:val="-1"/>
              </w:rPr>
            </w:pPr>
          </w:p>
          <w:p w14:paraId="61A24416" w14:textId="77777777" w:rsidR="00D429F4" w:rsidRPr="001768D6" w:rsidRDefault="00D429F4" w:rsidP="00D429F4">
            <w:pPr>
              <w:pStyle w:val="ListParagraph"/>
              <w:numPr>
                <w:ilvl w:val="0"/>
                <w:numId w:val="28"/>
              </w:numPr>
              <w:rPr>
                <w:b w:val="0"/>
                <w:color w:val="auto"/>
                <w:spacing w:val="-1"/>
              </w:rPr>
            </w:pPr>
            <w:r w:rsidRPr="001768D6">
              <w:rPr>
                <w:b w:val="0"/>
                <w:color w:val="auto"/>
                <w:spacing w:val="-1"/>
              </w:rPr>
              <w:t>Investigate 100% of fraud cases reported to us.</w:t>
            </w:r>
          </w:p>
          <w:p w14:paraId="291AF901" w14:textId="77777777" w:rsidR="00D429F4" w:rsidRPr="001768D6" w:rsidRDefault="00D429F4" w:rsidP="00D429F4">
            <w:pPr>
              <w:pStyle w:val="ListParagraph"/>
              <w:numPr>
                <w:ilvl w:val="0"/>
                <w:numId w:val="28"/>
              </w:numPr>
              <w:rPr>
                <w:b w:val="0"/>
                <w:color w:val="auto"/>
                <w:spacing w:val="-1"/>
              </w:rPr>
            </w:pPr>
            <w:r w:rsidRPr="001768D6">
              <w:rPr>
                <w:b w:val="0"/>
                <w:color w:val="auto"/>
                <w:spacing w:val="-1"/>
              </w:rPr>
              <w:t>Ensure that reports of fraud can be received by any persons or agencies and can be dealt with anonymously.</w:t>
            </w:r>
          </w:p>
          <w:p w14:paraId="0ACF5C41" w14:textId="77777777" w:rsidR="00D429F4" w:rsidRPr="001768D6" w:rsidRDefault="00D429F4" w:rsidP="00D429F4">
            <w:pPr>
              <w:pStyle w:val="ListParagraph"/>
              <w:numPr>
                <w:ilvl w:val="0"/>
                <w:numId w:val="28"/>
              </w:numPr>
              <w:rPr>
                <w:b w:val="0"/>
                <w:color w:val="auto"/>
                <w:spacing w:val="-1"/>
              </w:rPr>
            </w:pPr>
            <w:r w:rsidRPr="001768D6">
              <w:rPr>
                <w:b w:val="0"/>
                <w:color w:val="auto"/>
                <w:spacing w:val="-1"/>
              </w:rPr>
              <w:t>Commence investigations of all instances within seven working days. The type of investigation and action taken will be dictated by the type of tenancy fraud alleged.</w:t>
            </w:r>
          </w:p>
          <w:p w14:paraId="5012E8A1" w14:textId="77777777" w:rsidR="00D429F4" w:rsidRPr="001768D6" w:rsidRDefault="00D429F4" w:rsidP="00D429F4">
            <w:pPr>
              <w:pStyle w:val="ListParagraph"/>
              <w:numPr>
                <w:ilvl w:val="0"/>
                <w:numId w:val="28"/>
              </w:numPr>
              <w:rPr>
                <w:b w:val="0"/>
                <w:color w:val="auto"/>
                <w:spacing w:val="-1"/>
              </w:rPr>
            </w:pPr>
            <w:r w:rsidRPr="001768D6">
              <w:rPr>
                <w:b w:val="0"/>
                <w:color w:val="auto"/>
                <w:spacing w:val="-1"/>
              </w:rPr>
              <w:t>Log all reports and actions taken on our housing management system.</w:t>
            </w:r>
          </w:p>
          <w:p w14:paraId="0073391E" w14:textId="77777777" w:rsidR="00D429F4" w:rsidRPr="001768D6" w:rsidRDefault="00D429F4" w:rsidP="00D429F4">
            <w:pPr>
              <w:pStyle w:val="ListParagraph"/>
              <w:numPr>
                <w:ilvl w:val="0"/>
                <w:numId w:val="28"/>
              </w:numPr>
              <w:rPr>
                <w:b w:val="0"/>
                <w:color w:val="auto"/>
                <w:spacing w:val="-1"/>
              </w:rPr>
            </w:pPr>
            <w:r w:rsidRPr="001768D6">
              <w:rPr>
                <w:b w:val="0"/>
                <w:color w:val="auto"/>
                <w:spacing w:val="-1"/>
              </w:rPr>
              <w:t>Work with other agencies, including but not limited to; local authorities, the Department of Work and Pensions and the police.</w:t>
            </w:r>
          </w:p>
          <w:p w14:paraId="4B077644" w14:textId="77777777" w:rsidR="00B056B9" w:rsidRDefault="00D429F4" w:rsidP="00B056B9">
            <w:pPr>
              <w:pStyle w:val="ListParagraph"/>
              <w:numPr>
                <w:ilvl w:val="0"/>
                <w:numId w:val="28"/>
              </w:numPr>
              <w:rPr>
                <w:b w:val="0"/>
                <w:color w:val="auto"/>
                <w:spacing w:val="-1"/>
              </w:rPr>
            </w:pPr>
            <w:r w:rsidRPr="001768D6">
              <w:rPr>
                <w:b w:val="0"/>
                <w:color w:val="auto"/>
                <w:spacing w:val="-1"/>
              </w:rPr>
              <w:t>Seek possession of all properties where tenancy fraud is being committed, if required</w:t>
            </w:r>
            <w:r w:rsidR="00B056B9">
              <w:rPr>
                <w:b w:val="0"/>
                <w:color w:val="auto"/>
                <w:spacing w:val="-1"/>
              </w:rPr>
              <w:t>.</w:t>
            </w:r>
          </w:p>
          <w:p w14:paraId="65DCB37E" w14:textId="6F5C8281" w:rsidR="00123A13" w:rsidRPr="00B056B9" w:rsidRDefault="00D429F4" w:rsidP="00B056B9">
            <w:pPr>
              <w:pStyle w:val="ListParagraph"/>
              <w:numPr>
                <w:ilvl w:val="0"/>
                <w:numId w:val="28"/>
              </w:numPr>
              <w:rPr>
                <w:b w:val="0"/>
                <w:color w:val="auto"/>
                <w:spacing w:val="-1"/>
              </w:rPr>
            </w:pPr>
            <w:r w:rsidRPr="00B056B9">
              <w:rPr>
                <w:b w:val="0"/>
                <w:color w:val="auto"/>
                <w:spacing w:val="-1"/>
              </w:rPr>
              <w:t>Provide all relevant information to the respective local authority who may choose to bring criminal charges.</w:t>
            </w:r>
          </w:p>
        </w:tc>
      </w:tr>
      <w:tr w:rsidR="00123A13" w:rsidRPr="007D0DCD" w14:paraId="7600482A" w14:textId="77777777" w:rsidTr="05EFFE67">
        <w:tc>
          <w:tcPr>
            <w:tcW w:w="817" w:type="dxa"/>
            <w:tcBorders>
              <w:top w:val="nil"/>
              <w:left w:val="nil"/>
              <w:bottom w:val="nil"/>
              <w:right w:val="nil"/>
            </w:tcBorders>
          </w:tcPr>
          <w:p w14:paraId="23472DED" w14:textId="77777777" w:rsidR="00123A13" w:rsidRPr="003C1B99" w:rsidRDefault="00123A13" w:rsidP="00123A13">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B91F341" w14:textId="77777777" w:rsidR="00123A13" w:rsidRDefault="00123A13" w:rsidP="00123A13">
            <w:pPr>
              <w:pStyle w:val="ListBullet1"/>
              <w:numPr>
                <w:ilvl w:val="0"/>
                <w:numId w:val="0"/>
              </w:numPr>
              <w:rPr>
                <w:rFonts w:ascii="Calibri" w:hAnsi="Calibri"/>
                <w:lang w:eastAsia="en-GB"/>
              </w:rPr>
            </w:pPr>
          </w:p>
          <w:p w14:paraId="40E2B7E7" w14:textId="77777777" w:rsidR="00813DEE" w:rsidRDefault="00813DEE" w:rsidP="00123A13">
            <w:pPr>
              <w:pStyle w:val="ListBullet1"/>
              <w:numPr>
                <w:ilvl w:val="0"/>
                <w:numId w:val="0"/>
              </w:numPr>
              <w:rPr>
                <w:rFonts w:ascii="Calibri" w:hAnsi="Calibri"/>
                <w:lang w:eastAsia="en-GB"/>
              </w:rPr>
            </w:pPr>
          </w:p>
          <w:p w14:paraId="7CB99118" w14:textId="77777777" w:rsidR="00813DEE" w:rsidRPr="00CC18FE" w:rsidRDefault="00813DEE" w:rsidP="00123A13">
            <w:pPr>
              <w:pStyle w:val="ListBullet1"/>
              <w:numPr>
                <w:ilvl w:val="0"/>
                <w:numId w:val="0"/>
              </w:numPr>
              <w:rPr>
                <w:rFonts w:ascii="Calibri" w:hAnsi="Calibri"/>
                <w:lang w:eastAsia="en-GB"/>
              </w:rPr>
            </w:pPr>
          </w:p>
        </w:tc>
      </w:tr>
      <w:tr w:rsidR="00123A13" w:rsidRPr="007D0DCD" w14:paraId="06757603" w14:textId="77777777" w:rsidTr="05EFFE67">
        <w:trPr>
          <w:trHeight w:hRule="exact" w:val="284"/>
        </w:trPr>
        <w:tc>
          <w:tcPr>
            <w:tcW w:w="817" w:type="dxa"/>
            <w:tcBorders>
              <w:top w:val="nil"/>
              <w:left w:val="nil"/>
              <w:bottom w:val="nil"/>
              <w:right w:val="nil"/>
            </w:tcBorders>
          </w:tcPr>
          <w:p w14:paraId="2D084466" w14:textId="77777777" w:rsidR="00123A13" w:rsidRPr="00671F42" w:rsidRDefault="00123A13" w:rsidP="00123A13">
            <w:pPr>
              <w:pStyle w:val="ListParagraph"/>
              <w:numPr>
                <w:ilvl w:val="0"/>
                <w:numId w:val="5"/>
              </w:numPr>
            </w:pPr>
            <w:bookmarkStart w:id="19" w:name="_Toc476208631"/>
            <w:bookmarkEnd w:id="19"/>
          </w:p>
        </w:tc>
        <w:tc>
          <w:tcPr>
            <w:tcW w:w="8816" w:type="dxa"/>
            <w:tcBorders>
              <w:top w:val="nil"/>
              <w:left w:val="nil"/>
              <w:bottom w:val="nil"/>
              <w:right w:val="nil"/>
            </w:tcBorders>
          </w:tcPr>
          <w:p w14:paraId="4F9E4979" w14:textId="438FD8D3" w:rsidR="00123A13" w:rsidRPr="000D655A" w:rsidRDefault="00123A13" w:rsidP="00123A13">
            <w:pPr>
              <w:pStyle w:val="Heading1"/>
              <w:rPr>
                <w:lang w:val="en-US"/>
              </w:rPr>
            </w:pPr>
            <w:bookmarkStart w:id="20" w:name="_Toc116910373"/>
            <w:r>
              <w:rPr>
                <w:lang w:val="en-US"/>
              </w:rPr>
              <w:t>EQUALITY, DIVERSITY &amp; INCLUSION</w:t>
            </w:r>
            <w:bookmarkEnd w:id="20"/>
          </w:p>
        </w:tc>
      </w:tr>
      <w:tr w:rsidR="00123A13" w:rsidRPr="007D0DCD" w14:paraId="204F0263" w14:textId="77777777" w:rsidTr="05EFFE67">
        <w:tc>
          <w:tcPr>
            <w:tcW w:w="817" w:type="dxa"/>
            <w:tcBorders>
              <w:top w:val="nil"/>
              <w:left w:val="nil"/>
              <w:bottom w:val="nil"/>
              <w:right w:val="nil"/>
            </w:tcBorders>
          </w:tcPr>
          <w:p w14:paraId="633CF667" w14:textId="77777777" w:rsidR="00123A13" w:rsidRPr="00EF55CC" w:rsidRDefault="00123A13" w:rsidP="00123A13">
            <w:pPr>
              <w:rPr>
                <w:rFonts w:ascii="Calibri" w:eastAsia="Times New Roman" w:hAnsi="Calibri" w:cs="Arial"/>
                <w:szCs w:val="20"/>
                <w:lang w:eastAsia="en-GB"/>
              </w:rPr>
            </w:pPr>
          </w:p>
        </w:tc>
        <w:tc>
          <w:tcPr>
            <w:tcW w:w="8816" w:type="dxa"/>
            <w:tcBorders>
              <w:top w:val="nil"/>
              <w:left w:val="nil"/>
              <w:bottom w:val="nil"/>
              <w:right w:val="nil"/>
            </w:tcBorders>
          </w:tcPr>
          <w:p w14:paraId="3BD13BDB" w14:textId="06FFE3D3" w:rsidR="00123A13" w:rsidRDefault="00123A13" w:rsidP="00123A13">
            <w:pPr>
              <w:rPr>
                <w:i/>
                <w:iCs/>
                <w:color w:val="A6A6A6" w:themeColor="background1" w:themeShade="A6"/>
                <w:lang w:val="en-US"/>
              </w:rPr>
            </w:pPr>
          </w:p>
          <w:p w14:paraId="34C5B8CB" w14:textId="2FD9C9A7" w:rsidR="00123A13" w:rsidRPr="00247C6B" w:rsidRDefault="00123A13" w:rsidP="00123A13">
            <w:pPr>
              <w:rPr>
                <w:i/>
                <w:iCs/>
                <w:color w:val="A6A6A6" w:themeColor="background1" w:themeShade="A6"/>
                <w:lang w:val="en-US"/>
              </w:rPr>
            </w:pPr>
            <w:r>
              <w:rPr>
                <w:i/>
                <w:iCs/>
                <w:color w:val="A6A6A6" w:themeColor="background1" w:themeShade="A6"/>
                <w:lang w:val="en-US"/>
              </w:rPr>
              <w:t xml:space="preserve"> </w:t>
            </w:r>
          </w:p>
        </w:tc>
      </w:tr>
      <w:tr w:rsidR="00123A13" w:rsidRPr="007D0DCD" w14:paraId="044245EE" w14:textId="77777777" w:rsidTr="05EFFE67">
        <w:tc>
          <w:tcPr>
            <w:tcW w:w="817" w:type="dxa"/>
            <w:tcBorders>
              <w:top w:val="nil"/>
              <w:left w:val="nil"/>
              <w:bottom w:val="nil"/>
              <w:right w:val="nil"/>
            </w:tcBorders>
          </w:tcPr>
          <w:p w14:paraId="121B641D" w14:textId="77777777" w:rsidR="00123A13" w:rsidRPr="003C1B99" w:rsidRDefault="00123A13" w:rsidP="00123A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DC5F56" w14:textId="6CAC7A39" w:rsidR="00123A13" w:rsidRPr="00F407AD" w:rsidRDefault="00123A13" w:rsidP="00123A13">
            <w:pPr>
              <w:rPr>
                <w:rFonts w:eastAsia="Times New Roman" w:cs="Arial"/>
                <w:color w:val="000000" w:themeColor="text1"/>
                <w:szCs w:val="20"/>
                <w:lang w:eastAsia="en-GB"/>
              </w:rPr>
            </w:pPr>
            <w:r>
              <w:t xml:space="preserve">We are committed to promoting equality of opportunity for all. We are opposed to discrimination on any grounds regardless of age, disability, gender reassignment, pregnancy, race, religion or belief, sex, and sexual orientation. </w:t>
            </w:r>
          </w:p>
        </w:tc>
      </w:tr>
      <w:tr w:rsidR="00123A13" w:rsidRPr="007D0DCD" w14:paraId="7C1853E6" w14:textId="77777777" w:rsidTr="05EFFE67">
        <w:tc>
          <w:tcPr>
            <w:tcW w:w="817" w:type="dxa"/>
            <w:tcBorders>
              <w:top w:val="nil"/>
              <w:left w:val="nil"/>
              <w:bottom w:val="nil"/>
              <w:right w:val="nil"/>
            </w:tcBorders>
          </w:tcPr>
          <w:p w14:paraId="7D816D36" w14:textId="77777777" w:rsidR="00123A13" w:rsidRPr="007D0DCD" w:rsidRDefault="00123A13" w:rsidP="00123A13">
            <w:pPr>
              <w:rPr>
                <w:rFonts w:ascii="Calibri" w:eastAsia="Times New Roman" w:hAnsi="Calibri" w:cs="Arial"/>
                <w:szCs w:val="20"/>
                <w:lang w:eastAsia="en-GB"/>
              </w:rPr>
            </w:pPr>
          </w:p>
        </w:tc>
        <w:tc>
          <w:tcPr>
            <w:tcW w:w="8816" w:type="dxa"/>
            <w:tcBorders>
              <w:top w:val="nil"/>
              <w:left w:val="nil"/>
              <w:bottom w:val="nil"/>
              <w:right w:val="nil"/>
            </w:tcBorders>
          </w:tcPr>
          <w:p w14:paraId="6947A1D5" w14:textId="77777777" w:rsidR="00123A13" w:rsidRPr="00BA5AF4" w:rsidRDefault="00123A13" w:rsidP="00123A13">
            <w:pPr>
              <w:rPr>
                <w:rFonts w:ascii="Calibri" w:eastAsia="Times New Roman" w:hAnsi="Calibri" w:cs="Arial"/>
                <w:szCs w:val="20"/>
                <w:lang w:eastAsia="en-GB"/>
              </w:rPr>
            </w:pPr>
          </w:p>
        </w:tc>
      </w:tr>
      <w:tr w:rsidR="00123A13" w:rsidRPr="007D0DCD" w14:paraId="74E9F649" w14:textId="77777777" w:rsidTr="05EFFE67">
        <w:tc>
          <w:tcPr>
            <w:tcW w:w="817" w:type="dxa"/>
            <w:tcBorders>
              <w:top w:val="nil"/>
              <w:left w:val="nil"/>
              <w:bottom w:val="nil"/>
              <w:right w:val="nil"/>
            </w:tcBorders>
          </w:tcPr>
          <w:p w14:paraId="4C57917F" w14:textId="77777777" w:rsidR="00123A13" w:rsidRPr="003C1B99" w:rsidRDefault="00123A13" w:rsidP="00B056B9">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56758130" w14:textId="51B771D3" w:rsidR="00123A13" w:rsidRPr="00BA5AF4" w:rsidRDefault="23762C30" w:rsidP="553986A7">
            <w:pPr>
              <w:rPr>
                <w:rFonts w:ascii="Calibri" w:eastAsia="Times New Roman" w:hAnsi="Calibri" w:cs="Arial"/>
                <w:lang w:eastAsia="en-GB"/>
              </w:rPr>
            </w:pPr>
            <w:r>
              <w:t xml:space="preserve">We are committed to developing a culture that values people from all sections of society and the contribution which </w:t>
            </w:r>
            <w:r w:rsidR="221D65DE">
              <w:t>everyone</w:t>
            </w:r>
            <w:r>
              <w:t xml:space="preserve"> can make. We will ensure our approach to accessing properties is considerate to people’s individual needs. We also adhere to the Equality Act 2010.</w:t>
            </w:r>
          </w:p>
        </w:tc>
      </w:tr>
      <w:tr w:rsidR="00123A13" w:rsidRPr="007D0DCD" w14:paraId="0B7CB2C7" w14:textId="77777777" w:rsidTr="05EFFE67">
        <w:tc>
          <w:tcPr>
            <w:tcW w:w="817" w:type="dxa"/>
            <w:tcBorders>
              <w:top w:val="nil"/>
              <w:left w:val="nil"/>
              <w:bottom w:val="nil"/>
              <w:right w:val="nil"/>
            </w:tcBorders>
          </w:tcPr>
          <w:p w14:paraId="4E9A4548" w14:textId="77777777" w:rsidR="00123A13" w:rsidRPr="003C1B99" w:rsidRDefault="00123A13" w:rsidP="00123A13">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F60B141" w14:textId="77777777" w:rsidR="00123A13" w:rsidRPr="00BA5AF4" w:rsidRDefault="00123A13" w:rsidP="00123A13">
            <w:pPr>
              <w:rPr>
                <w:rFonts w:ascii="Calibri" w:eastAsia="Times New Roman" w:hAnsi="Calibri" w:cs="Arial"/>
                <w:szCs w:val="20"/>
                <w:lang w:eastAsia="en-GB"/>
              </w:rPr>
            </w:pPr>
          </w:p>
        </w:tc>
      </w:tr>
      <w:tr w:rsidR="00123A13" w:rsidRPr="007D0DCD" w14:paraId="53109B6E" w14:textId="77777777" w:rsidTr="05EFFE67">
        <w:tc>
          <w:tcPr>
            <w:tcW w:w="817" w:type="dxa"/>
            <w:tcBorders>
              <w:top w:val="nil"/>
              <w:left w:val="nil"/>
              <w:bottom w:val="nil"/>
              <w:right w:val="nil"/>
            </w:tcBorders>
          </w:tcPr>
          <w:p w14:paraId="49E33D8E" w14:textId="77777777" w:rsidR="00123A13" w:rsidRPr="003C1B99" w:rsidRDefault="00123A13" w:rsidP="00123A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DBD5272" w14:textId="3481AE2E" w:rsidR="00123A13" w:rsidRPr="00BA5AF4" w:rsidRDefault="00123A13" w:rsidP="00123A13">
            <w:pPr>
              <w:rPr>
                <w:rFonts w:ascii="Calibri" w:eastAsia="Times New Roman" w:hAnsi="Calibri" w:cs="Arial"/>
                <w:szCs w:val="20"/>
                <w:lang w:eastAsia="en-GB"/>
              </w:rPr>
            </w:pPr>
            <w:r>
              <w:t>The Trust recognises that some people experience disadvantage due to their socio-economic circumstances and will strive to ensure no person or groups of persons is treated with injustice due to their personal circumstances.</w:t>
            </w:r>
          </w:p>
        </w:tc>
      </w:tr>
      <w:tr w:rsidR="00B056B9" w:rsidRPr="007D0DCD" w14:paraId="1509968B" w14:textId="77777777" w:rsidTr="05EFFE67">
        <w:tc>
          <w:tcPr>
            <w:tcW w:w="817" w:type="dxa"/>
            <w:tcBorders>
              <w:top w:val="nil"/>
              <w:left w:val="nil"/>
              <w:bottom w:val="nil"/>
              <w:right w:val="nil"/>
            </w:tcBorders>
          </w:tcPr>
          <w:p w14:paraId="3676CE9F" w14:textId="77777777" w:rsidR="00B056B9" w:rsidRPr="003C1B99" w:rsidRDefault="00B056B9" w:rsidP="00B056B9">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6E18720" w14:textId="77777777" w:rsidR="00B056B9" w:rsidRDefault="00B056B9" w:rsidP="00123A13"/>
        </w:tc>
      </w:tr>
      <w:tr w:rsidR="00B056B9" w:rsidRPr="007D0DCD" w14:paraId="2957BED5" w14:textId="77777777" w:rsidTr="05EFFE67">
        <w:tc>
          <w:tcPr>
            <w:tcW w:w="817" w:type="dxa"/>
            <w:tcBorders>
              <w:top w:val="nil"/>
              <w:left w:val="nil"/>
              <w:bottom w:val="nil"/>
              <w:right w:val="nil"/>
            </w:tcBorders>
          </w:tcPr>
          <w:p w14:paraId="4D1CDCC1" w14:textId="77777777" w:rsidR="00B056B9" w:rsidRPr="003C1B99" w:rsidRDefault="00B056B9" w:rsidP="00123A13">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74DA8F5" w14:textId="48FE7189" w:rsidR="00B056B9" w:rsidRDefault="0077001B" w:rsidP="00123A13">
            <w:r>
              <w:t xml:space="preserve">An Equality Impact Assessment has been completed for this policy and reported to the Executive Management Team.  This considers options around suitable identification for those tenants who may not have a passport or driving licence, and the Trust will revert to the </w:t>
            </w:r>
            <w:r w:rsidR="00EA77F4">
              <w:t>Governments list of agreed documents accepted for Right to Rent checks.</w:t>
            </w:r>
          </w:p>
        </w:tc>
      </w:tr>
      <w:tr w:rsidR="00123A13" w:rsidRPr="007D0DCD" w14:paraId="2229F12C" w14:textId="77777777" w:rsidTr="05EFFE67">
        <w:tc>
          <w:tcPr>
            <w:tcW w:w="817" w:type="dxa"/>
            <w:tcBorders>
              <w:top w:val="nil"/>
              <w:left w:val="nil"/>
              <w:bottom w:val="nil"/>
              <w:right w:val="nil"/>
            </w:tcBorders>
          </w:tcPr>
          <w:p w14:paraId="3F27B7C2" w14:textId="77777777" w:rsidR="00123A13" w:rsidRPr="003C1B99" w:rsidRDefault="00123A13" w:rsidP="00123A13">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1C15D6C" w14:textId="77777777" w:rsidR="00123A13" w:rsidRPr="00BA5AF4" w:rsidRDefault="00123A13" w:rsidP="00123A13">
            <w:pPr>
              <w:rPr>
                <w:rFonts w:ascii="Calibri" w:eastAsia="Times New Roman" w:hAnsi="Calibri" w:cs="Arial"/>
                <w:szCs w:val="20"/>
                <w:lang w:eastAsia="en-GB"/>
              </w:rPr>
            </w:pPr>
          </w:p>
        </w:tc>
      </w:tr>
      <w:tr w:rsidR="00123A13" w:rsidRPr="007D0DCD" w14:paraId="6D2C0195" w14:textId="77777777" w:rsidTr="05EFFE67">
        <w:tc>
          <w:tcPr>
            <w:tcW w:w="817" w:type="dxa"/>
            <w:tcBorders>
              <w:top w:val="nil"/>
              <w:left w:val="nil"/>
              <w:bottom w:val="nil"/>
              <w:right w:val="nil"/>
            </w:tcBorders>
          </w:tcPr>
          <w:p w14:paraId="0D9507E7" w14:textId="77777777" w:rsidR="00123A13" w:rsidRPr="00E82464" w:rsidRDefault="00123A13" w:rsidP="00123A13">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295CEE3A" w14:textId="77777777" w:rsidR="00123A13" w:rsidRPr="00E82464" w:rsidRDefault="00123A13" w:rsidP="00123A13">
            <w:pPr>
              <w:pStyle w:val="Heading1"/>
              <w:rPr>
                <w:lang w:eastAsia="en-GB"/>
              </w:rPr>
            </w:pPr>
            <w:bookmarkStart w:id="21" w:name="_Toc116910374"/>
            <w:r w:rsidRPr="00E82464">
              <w:t>RESPONSIBILITIES</w:t>
            </w:r>
            <w:bookmarkEnd w:id="21"/>
          </w:p>
        </w:tc>
      </w:tr>
      <w:tr w:rsidR="00123A13" w:rsidRPr="007D0DCD" w14:paraId="1941F0FE" w14:textId="77777777" w:rsidTr="05EFFE67">
        <w:tc>
          <w:tcPr>
            <w:tcW w:w="817" w:type="dxa"/>
            <w:tcBorders>
              <w:top w:val="nil"/>
              <w:left w:val="nil"/>
              <w:bottom w:val="nil"/>
              <w:right w:val="nil"/>
            </w:tcBorders>
          </w:tcPr>
          <w:p w14:paraId="18A98C23" w14:textId="77777777" w:rsidR="00123A13" w:rsidRPr="00E82464" w:rsidRDefault="00123A13" w:rsidP="00123A13">
            <w:pPr>
              <w:rPr>
                <w:rFonts w:eastAsia="Times New Roman" w:cs="Arial"/>
                <w:szCs w:val="20"/>
                <w:lang w:eastAsia="en-GB"/>
              </w:rPr>
            </w:pPr>
          </w:p>
        </w:tc>
        <w:tc>
          <w:tcPr>
            <w:tcW w:w="8816" w:type="dxa"/>
            <w:tcBorders>
              <w:top w:val="nil"/>
              <w:left w:val="nil"/>
              <w:bottom w:val="nil"/>
              <w:right w:val="nil"/>
            </w:tcBorders>
          </w:tcPr>
          <w:p w14:paraId="3B71D695" w14:textId="77777777" w:rsidR="00123A13" w:rsidRPr="00A064EB" w:rsidRDefault="00123A13" w:rsidP="00123A13">
            <w:pPr>
              <w:rPr>
                <w:i/>
                <w:iCs/>
                <w:color w:val="FF0000"/>
                <w:lang w:val="en-US"/>
              </w:rPr>
            </w:pPr>
          </w:p>
        </w:tc>
      </w:tr>
      <w:tr w:rsidR="00123A13" w:rsidRPr="007D0DCD" w14:paraId="154507C3" w14:textId="77777777" w:rsidTr="05EFFE67">
        <w:tc>
          <w:tcPr>
            <w:tcW w:w="817" w:type="dxa"/>
            <w:tcBorders>
              <w:top w:val="nil"/>
              <w:left w:val="nil"/>
              <w:bottom w:val="nil"/>
              <w:right w:val="nil"/>
            </w:tcBorders>
          </w:tcPr>
          <w:p w14:paraId="092CC823" w14:textId="77777777" w:rsidR="00123A13" w:rsidRPr="00E82464" w:rsidRDefault="00123A13" w:rsidP="00123A13">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6AC31CE4" w14:textId="77777777" w:rsidR="00123A13" w:rsidRDefault="00123A13" w:rsidP="00123A13">
            <w:r>
              <w:t xml:space="preserve">The Board has overall responsibility for this policy, with delegation to the Audit Committee, and is responsible for making sure that: </w:t>
            </w:r>
          </w:p>
          <w:p w14:paraId="5282BE6A" w14:textId="77777777" w:rsidR="00237822" w:rsidRDefault="23762C30" w:rsidP="00237822">
            <w:pPr>
              <w:pStyle w:val="ListParagraph"/>
              <w:numPr>
                <w:ilvl w:val="0"/>
                <w:numId w:val="28"/>
              </w:numPr>
              <w:rPr>
                <w:b w:val="0"/>
                <w:color w:val="auto"/>
                <w:spacing w:val="-1"/>
              </w:rPr>
            </w:pPr>
            <w:bookmarkStart w:id="22" w:name="_Int_wY5mJ9ds"/>
            <w:r w:rsidRPr="00237822">
              <w:rPr>
                <w:b w:val="0"/>
                <w:color w:val="auto"/>
                <w:spacing w:val="-1"/>
              </w:rPr>
              <w:t>An</w:t>
            </w:r>
            <w:bookmarkEnd w:id="22"/>
            <w:r w:rsidRPr="00237822">
              <w:rPr>
                <w:b w:val="0"/>
                <w:color w:val="auto"/>
                <w:spacing w:val="-1"/>
              </w:rPr>
              <w:t xml:space="preserve"> anti-tenancy fraud culture is established and promoted. </w:t>
            </w:r>
          </w:p>
          <w:p w14:paraId="1B6B0CF7" w14:textId="77777777" w:rsidR="00237822" w:rsidRPr="00237822" w:rsidRDefault="00123A13" w:rsidP="00237822">
            <w:pPr>
              <w:pStyle w:val="ListParagraph"/>
              <w:numPr>
                <w:ilvl w:val="0"/>
                <w:numId w:val="28"/>
              </w:numPr>
              <w:rPr>
                <w:rFonts w:asciiTheme="minorHAnsi" w:hAnsiTheme="minorHAnsi"/>
                <w:b w:val="0"/>
                <w:color w:val="auto"/>
              </w:rPr>
            </w:pPr>
            <w:r w:rsidRPr="00237822">
              <w:rPr>
                <w:rFonts w:asciiTheme="minorHAnsi" w:hAnsiTheme="minorHAnsi"/>
                <w:b w:val="0"/>
                <w:color w:val="auto"/>
              </w:rPr>
              <w:t xml:space="preserve">Effective controls are in place to prevent and detect tenancy fraud. </w:t>
            </w:r>
          </w:p>
          <w:p w14:paraId="7198E2AE" w14:textId="77777777" w:rsidR="00237822" w:rsidRPr="00237822" w:rsidRDefault="00123A13" w:rsidP="00123A13">
            <w:pPr>
              <w:pStyle w:val="ListParagraph"/>
              <w:numPr>
                <w:ilvl w:val="0"/>
                <w:numId w:val="28"/>
              </w:numPr>
              <w:rPr>
                <w:b w:val="0"/>
                <w:color w:val="auto"/>
                <w:spacing w:val="-1"/>
              </w:rPr>
            </w:pPr>
            <w:r w:rsidRPr="00237822">
              <w:rPr>
                <w:rFonts w:asciiTheme="minorHAnsi" w:hAnsiTheme="minorHAnsi"/>
                <w:b w:val="0"/>
                <w:color w:val="auto"/>
              </w:rPr>
              <w:t>All instances of tenancy fraud and suspected tenancy fraud are investigated</w:t>
            </w:r>
            <w:r w:rsidRPr="00237822">
              <w:rPr>
                <w:spacing w:val="-1"/>
              </w:rPr>
              <w:t xml:space="preserve"> </w:t>
            </w:r>
            <w:r w:rsidRPr="00237822">
              <w:rPr>
                <w:rFonts w:asciiTheme="minorHAnsi" w:hAnsiTheme="minorHAnsi"/>
                <w:b w:val="0"/>
                <w:color w:val="auto"/>
              </w:rPr>
              <w:t>promptly and thoroughly.</w:t>
            </w:r>
            <w:r>
              <w:t xml:space="preserve"> </w:t>
            </w:r>
          </w:p>
          <w:p w14:paraId="16069313" w14:textId="7BBBE04D" w:rsidR="00123A13" w:rsidRPr="00237822" w:rsidRDefault="00123A13" w:rsidP="00123A13">
            <w:pPr>
              <w:pStyle w:val="ListParagraph"/>
              <w:numPr>
                <w:ilvl w:val="0"/>
                <w:numId w:val="28"/>
              </w:numPr>
              <w:rPr>
                <w:b w:val="0"/>
                <w:color w:val="auto"/>
                <w:spacing w:val="-1"/>
              </w:rPr>
            </w:pPr>
            <w:r w:rsidRPr="00237822">
              <w:rPr>
                <w:rFonts w:asciiTheme="minorHAnsi" w:hAnsiTheme="minorHAnsi"/>
                <w:b w:val="0"/>
                <w:color w:val="auto"/>
              </w:rPr>
              <w:t>Further action is taken with the appropriate authorities when necessary.</w:t>
            </w:r>
          </w:p>
        </w:tc>
      </w:tr>
      <w:tr w:rsidR="00123A13" w:rsidRPr="007D0DCD" w14:paraId="3857A4C2" w14:textId="77777777" w:rsidTr="05EFFE67">
        <w:tc>
          <w:tcPr>
            <w:tcW w:w="817" w:type="dxa"/>
            <w:tcBorders>
              <w:top w:val="nil"/>
              <w:left w:val="nil"/>
              <w:bottom w:val="nil"/>
              <w:right w:val="nil"/>
            </w:tcBorders>
          </w:tcPr>
          <w:p w14:paraId="59E08E30" w14:textId="77777777" w:rsidR="00123A13" w:rsidRPr="00E82464" w:rsidRDefault="00123A13" w:rsidP="00123A13">
            <w:pPr>
              <w:rPr>
                <w:rFonts w:eastAsia="Times New Roman" w:cs="Arial"/>
                <w:szCs w:val="20"/>
                <w:lang w:eastAsia="en-GB"/>
              </w:rPr>
            </w:pPr>
          </w:p>
        </w:tc>
        <w:tc>
          <w:tcPr>
            <w:tcW w:w="8816" w:type="dxa"/>
            <w:tcBorders>
              <w:top w:val="nil"/>
              <w:left w:val="nil"/>
              <w:bottom w:val="nil"/>
              <w:right w:val="nil"/>
            </w:tcBorders>
          </w:tcPr>
          <w:p w14:paraId="16BBA939" w14:textId="77777777" w:rsidR="00123A13" w:rsidRPr="00BA5AF4" w:rsidRDefault="00123A13" w:rsidP="00123A13">
            <w:pPr>
              <w:rPr>
                <w:rFonts w:ascii="Calibri" w:eastAsia="Times New Roman" w:hAnsi="Calibri" w:cs="Arial"/>
                <w:szCs w:val="20"/>
                <w:lang w:eastAsia="en-GB"/>
              </w:rPr>
            </w:pPr>
          </w:p>
        </w:tc>
      </w:tr>
      <w:tr w:rsidR="00EA77F4" w:rsidRPr="007D0DCD" w14:paraId="33529D4C" w14:textId="77777777" w:rsidTr="05EFFE67">
        <w:tc>
          <w:tcPr>
            <w:tcW w:w="817" w:type="dxa"/>
            <w:tcBorders>
              <w:top w:val="nil"/>
              <w:left w:val="nil"/>
              <w:bottom w:val="nil"/>
              <w:right w:val="nil"/>
            </w:tcBorders>
          </w:tcPr>
          <w:p w14:paraId="36CE032D" w14:textId="77777777" w:rsidR="00EA77F4" w:rsidRPr="00E82464" w:rsidRDefault="00EA77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85C987C" w14:textId="1CA44C99" w:rsidR="00EA77F4" w:rsidRPr="553986A7" w:rsidRDefault="00EA77F4" w:rsidP="00D429F4">
            <w:pPr>
              <w:rPr>
                <w:rFonts w:ascii="Calibri" w:eastAsia="Calibri" w:hAnsi="Calibri" w:cs="Calibri"/>
              </w:rPr>
            </w:pPr>
            <w:r>
              <w:rPr>
                <w:rFonts w:ascii="Calibri" w:eastAsia="Calibri" w:hAnsi="Calibri" w:cs="Calibri"/>
              </w:rPr>
              <w:t xml:space="preserve">The Executive Management Team </w:t>
            </w:r>
            <w:r w:rsidR="00813DEE">
              <w:rPr>
                <w:rFonts w:ascii="Calibri" w:eastAsia="Calibri" w:hAnsi="Calibri" w:cs="Calibri"/>
              </w:rPr>
              <w:t>is</w:t>
            </w:r>
            <w:r>
              <w:rPr>
                <w:rFonts w:ascii="Calibri" w:eastAsia="Calibri" w:hAnsi="Calibri" w:cs="Calibri"/>
              </w:rPr>
              <w:t xml:space="preserve"> responsible for approving this policy.</w:t>
            </w:r>
          </w:p>
        </w:tc>
      </w:tr>
      <w:tr w:rsidR="00EA77F4" w:rsidRPr="007D0DCD" w14:paraId="6A380596" w14:textId="77777777" w:rsidTr="05EFFE67">
        <w:tc>
          <w:tcPr>
            <w:tcW w:w="817" w:type="dxa"/>
            <w:tcBorders>
              <w:top w:val="nil"/>
              <w:left w:val="nil"/>
              <w:bottom w:val="nil"/>
              <w:right w:val="nil"/>
            </w:tcBorders>
          </w:tcPr>
          <w:p w14:paraId="6F0D9977" w14:textId="77777777" w:rsidR="00EA77F4" w:rsidRPr="00E82464" w:rsidRDefault="00EA77F4" w:rsidP="00813DEE">
            <w:pPr>
              <w:pStyle w:val="ListParagraph"/>
              <w:ind w:left="0"/>
              <w:rPr>
                <w:rFonts w:eastAsia="Times New Roman" w:cs="Arial"/>
                <w:szCs w:val="20"/>
                <w:lang w:eastAsia="en-GB"/>
              </w:rPr>
            </w:pPr>
          </w:p>
        </w:tc>
        <w:tc>
          <w:tcPr>
            <w:tcW w:w="8816" w:type="dxa"/>
            <w:tcBorders>
              <w:top w:val="nil"/>
              <w:left w:val="nil"/>
              <w:bottom w:val="nil"/>
              <w:right w:val="nil"/>
            </w:tcBorders>
          </w:tcPr>
          <w:p w14:paraId="77C56170" w14:textId="77777777" w:rsidR="00EA77F4" w:rsidRPr="553986A7" w:rsidRDefault="00EA77F4" w:rsidP="00D429F4">
            <w:pPr>
              <w:rPr>
                <w:rFonts w:ascii="Calibri" w:eastAsia="Calibri" w:hAnsi="Calibri" w:cs="Calibri"/>
              </w:rPr>
            </w:pPr>
          </w:p>
        </w:tc>
      </w:tr>
      <w:tr w:rsidR="00D429F4" w:rsidRPr="007D0DCD" w14:paraId="605FB7C6" w14:textId="77777777" w:rsidTr="05EFFE67">
        <w:tc>
          <w:tcPr>
            <w:tcW w:w="817" w:type="dxa"/>
            <w:tcBorders>
              <w:top w:val="nil"/>
              <w:left w:val="nil"/>
              <w:bottom w:val="nil"/>
              <w:right w:val="nil"/>
            </w:tcBorders>
          </w:tcPr>
          <w:p w14:paraId="15587108"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CF50F7A" w14:textId="2BE103A7" w:rsidR="00D429F4" w:rsidRPr="00B056B9" w:rsidRDefault="36DD5DE9" w:rsidP="00D429F4">
            <w:pPr>
              <w:rPr>
                <w:rFonts w:ascii="Calibri" w:eastAsia="Calibri" w:hAnsi="Calibri" w:cs="Calibri"/>
              </w:rPr>
            </w:pPr>
            <w:r w:rsidRPr="553986A7">
              <w:rPr>
                <w:rFonts w:ascii="Calibri" w:eastAsia="Calibri" w:hAnsi="Calibri" w:cs="Calibri"/>
              </w:rPr>
              <w:t xml:space="preserve">The Director of Resources will be responsible for the effective implementation of this policy. </w:t>
            </w:r>
          </w:p>
        </w:tc>
      </w:tr>
      <w:tr w:rsidR="00D429F4" w:rsidRPr="007D0DCD" w14:paraId="34E56B22" w14:textId="77777777" w:rsidTr="05EFFE67">
        <w:tc>
          <w:tcPr>
            <w:tcW w:w="817" w:type="dxa"/>
            <w:tcBorders>
              <w:top w:val="nil"/>
              <w:left w:val="nil"/>
              <w:bottom w:val="nil"/>
              <w:right w:val="nil"/>
            </w:tcBorders>
          </w:tcPr>
          <w:p w14:paraId="57ADE365" w14:textId="77777777" w:rsidR="00D429F4" w:rsidRPr="00E82464" w:rsidRDefault="00D429F4" w:rsidP="00D429F4">
            <w:pPr>
              <w:rPr>
                <w:rFonts w:eastAsia="Times New Roman" w:cs="Arial"/>
                <w:szCs w:val="20"/>
                <w:lang w:eastAsia="en-GB"/>
              </w:rPr>
            </w:pPr>
          </w:p>
        </w:tc>
        <w:tc>
          <w:tcPr>
            <w:tcW w:w="8816" w:type="dxa"/>
            <w:tcBorders>
              <w:top w:val="nil"/>
              <w:left w:val="nil"/>
              <w:bottom w:val="nil"/>
              <w:right w:val="nil"/>
            </w:tcBorders>
          </w:tcPr>
          <w:p w14:paraId="44F98EBB" w14:textId="77777777" w:rsidR="00D429F4" w:rsidRPr="00BA5AF4" w:rsidRDefault="00D429F4" w:rsidP="00D429F4">
            <w:pPr>
              <w:rPr>
                <w:rFonts w:ascii="Calibri" w:eastAsia="Times New Roman" w:hAnsi="Calibri" w:cs="Arial"/>
                <w:szCs w:val="20"/>
                <w:lang w:eastAsia="en-GB"/>
              </w:rPr>
            </w:pPr>
          </w:p>
        </w:tc>
      </w:tr>
      <w:tr w:rsidR="00D429F4" w:rsidRPr="007D0DCD" w14:paraId="2888BBAD" w14:textId="77777777" w:rsidTr="05EFFE67">
        <w:tc>
          <w:tcPr>
            <w:tcW w:w="817" w:type="dxa"/>
            <w:tcBorders>
              <w:top w:val="nil"/>
              <w:left w:val="nil"/>
              <w:bottom w:val="nil"/>
              <w:right w:val="nil"/>
            </w:tcBorders>
          </w:tcPr>
          <w:p w14:paraId="604BD0F7"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79C76DC" w14:textId="0972A1D1" w:rsidR="00F52644" w:rsidRPr="00B056B9" w:rsidRDefault="36DD5DE9" w:rsidP="553986A7">
            <w:pPr>
              <w:rPr>
                <w:rFonts w:ascii="Calibri" w:eastAsia="Calibri" w:hAnsi="Calibri" w:cs="Calibri"/>
              </w:rPr>
            </w:pPr>
            <w:r w:rsidRPr="553986A7">
              <w:rPr>
                <w:rFonts w:ascii="Calibri" w:eastAsia="Calibri" w:hAnsi="Calibri" w:cs="Calibri"/>
              </w:rPr>
              <w:t xml:space="preserve">The Head of Neighbourhoods will oversee the work of the </w:t>
            </w:r>
            <w:r w:rsidR="00F52644">
              <w:rPr>
                <w:rFonts w:ascii="Calibri" w:eastAsia="Calibri" w:hAnsi="Calibri" w:cs="Calibri"/>
              </w:rPr>
              <w:t>N</w:t>
            </w:r>
            <w:r w:rsidRPr="553986A7">
              <w:rPr>
                <w:rFonts w:ascii="Calibri" w:eastAsia="Calibri" w:hAnsi="Calibri" w:cs="Calibri"/>
              </w:rPr>
              <w:t xml:space="preserve">eighbourhood </w:t>
            </w:r>
            <w:r w:rsidR="00F52644">
              <w:rPr>
                <w:rFonts w:ascii="Calibri" w:eastAsia="Calibri" w:hAnsi="Calibri" w:cs="Calibri"/>
              </w:rPr>
              <w:t>T</w:t>
            </w:r>
            <w:r w:rsidRPr="553986A7">
              <w:rPr>
                <w:rFonts w:ascii="Calibri" w:eastAsia="Calibri" w:hAnsi="Calibri" w:cs="Calibri"/>
              </w:rPr>
              <w:t xml:space="preserve">eams in the </w:t>
            </w:r>
            <w:r w:rsidR="7E52D378" w:rsidRPr="553986A7">
              <w:rPr>
                <w:rFonts w:ascii="Calibri" w:eastAsia="Calibri" w:hAnsi="Calibri" w:cs="Calibri"/>
              </w:rPr>
              <w:t>day-to-day</w:t>
            </w:r>
            <w:r w:rsidRPr="553986A7">
              <w:rPr>
                <w:rFonts w:ascii="Calibri" w:eastAsia="Calibri" w:hAnsi="Calibri" w:cs="Calibri"/>
              </w:rPr>
              <w:t xml:space="preserve"> operation and reporting of this policy.</w:t>
            </w:r>
            <w:r w:rsidR="00921AD4">
              <w:rPr>
                <w:rFonts w:ascii="Calibri" w:eastAsia="Calibri" w:hAnsi="Calibri" w:cs="Calibri"/>
              </w:rPr>
              <w:t xml:space="preserve"> The </w:t>
            </w:r>
            <w:r w:rsidR="00EA77F4">
              <w:rPr>
                <w:rFonts w:ascii="Calibri" w:eastAsia="Calibri" w:hAnsi="Calibri" w:cs="Calibri"/>
              </w:rPr>
              <w:t>AD of Finance</w:t>
            </w:r>
            <w:r w:rsidR="00921AD4">
              <w:rPr>
                <w:rFonts w:ascii="Calibri" w:eastAsia="Calibri" w:hAnsi="Calibri" w:cs="Calibri"/>
              </w:rPr>
              <w:t xml:space="preserve"> will oversee the day-to-day operation of the Home-Ownership Team in relation to this property and </w:t>
            </w:r>
            <w:r w:rsidR="009C1379">
              <w:rPr>
                <w:rFonts w:ascii="Calibri" w:eastAsia="Calibri" w:hAnsi="Calibri" w:cs="Calibri"/>
              </w:rPr>
              <w:t>Right to Buy, Right to Acquire</w:t>
            </w:r>
            <w:r w:rsidR="009A2992">
              <w:rPr>
                <w:rFonts w:ascii="Calibri" w:eastAsia="Calibri" w:hAnsi="Calibri" w:cs="Calibri"/>
              </w:rPr>
              <w:t xml:space="preserve"> and Rent to Buy properties</w:t>
            </w:r>
            <w:r w:rsidR="00D36CFF">
              <w:rPr>
                <w:rFonts w:ascii="Calibri" w:eastAsia="Calibri" w:hAnsi="Calibri" w:cs="Calibri"/>
              </w:rPr>
              <w:t xml:space="preserve">, as well as Market Rent and PRS tenancies. </w:t>
            </w:r>
          </w:p>
        </w:tc>
      </w:tr>
      <w:tr w:rsidR="00B056B9" w:rsidRPr="007D0DCD" w14:paraId="4C661E4E" w14:textId="77777777" w:rsidTr="05EFFE67">
        <w:tc>
          <w:tcPr>
            <w:tcW w:w="817" w:type="dxa"/>
            <w:tcBorders>
              <w:top w:val="nil"/>
              <w:left w:val="nil"/>
              <w:bottom w:val="nil"/>
              <w:right w:val="nil"/>
            </w:tcBorders>
          </w:tcPr>
          <w:p w14:paraId="028BB4B4" w14:textId="77777777" w:rsidR="00B056B9" w:rsidRPr="00E82464" w:rsidRDefault="00B056B9" w:rsidP="00B056B9">
            <w:pPr>
              <w:pStyle w:val="ListParagraph"/>
              <w:ind w:left="0"/>
              <w:rPr>
                <w:rFonts w:eastAsia="Times New Roman" w:cs="Arial"/>
                <w:szCs w:val="20"/>
                <w:lang w:eastAsia="en-GB"/>
              </w:rPr>
            </w:pPr>
          </w:p>
        </w:tc>
        <w:tc>
          <w:tcPr>
            <w:tcW w:w="8816" w:type="dxa"/>
            <w:tcBorders>
              <w:top w:val="nil"/>
              <w:left w:val="nil"/>
              <w:bottom w:val="nil"/>
              <w:right w:val="nil"/>
            </w:tcBorders>
          </w:tcPr>
          <w:p w14:paraId="44A01583" w14:textId="77777777" w:rsidR="00B056B9" w:rsidRPr="553986A7" w:rsidRDefault="00B056B9" w:rsidP="553986A7">
            <w:pPr>
              <w:rPr>
                <w:rFonts w:ascii="Calibri" w:eastAsia="Calibri" w:hAnsi="Calibri" w:cs="Calibri"/>
              </w:rPr>
            </w:pPr>
          </w:p>
        </w:tc>
      </w:tr>
      <w:tr w:rsidR="00F52644" w:rsidRPr="007D0DCD" w14:paraId="44BB427B" w14:textId="77777777" w:rsidTr="05EFFE67">
        <w:tc>
          <w:tcPr>
            <w:tcW w:w="817" w:type="dxa"/>
            <w:tcBorders>
              <w:top w:val="nil"/>
              <w:left w:val="nil"/>
              <w:bottom w:val="nil"/>
              <w:right w:val="nil"/>
            </w:tcBorders>
          </w:tcPr>
          <w:p w14:paraId="0B33FAA7" w14:textId="77777777" w:rsidR="00F52644" w:rsidRPr="00E82464" w:rsidRDefault="00F5264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64239941" w14:textId="0DB6834E" w:rsidR="000F5A6A" w:rsidRPr="553986A7" w:rsidRDefault="00F52644" w:rsidP="553986A7">
            <w:pPr>
              <w:rPr>
                <w:rFonts w:ascii="Calibri" w:eastAsia="Calibri" w:hAnsi="Calibri" w:cs="Calibri"/>
              </w:rPr>
            </w:pPr>
            <w:r>
              <w:rPr>
                <w:rFonts w:ascii="Calibri" w:eastAsia="Calibri" w:hAnsi="Calibri" w:cs="Calibri"/>
              </w:rPr>
              <w:t xml:space="preserve">The Home Ownership Team will investigate </w:t>
            </w:r>
            <w:r w:rsidR="009F0B66">
              <w:rPr>
                <w:rFonts w:ascii="Calibri" w:eastAsia="Calibri" w:hAnsi="Calibri" w:cs="Calibri"/>
              </w:rPr>
              <w:t xml:space="preserve">reports of tenancy fraud in relation to Shared Ownership, Right to Buy and Right to Acquire. </w:t>
            </w:r>
            <w:r w:rsidR="00EA77F4">
              <w:rPr>
                <w:rFonts w:ascii="Calibri" w:eastAsia="Calibri" w:hAnsi="Calibri" w:cs="Calibri"/>
              </w:rPr>
              <w:t xml:space="preserve">The </w:t>
            </w:r>
            <w:r w:rsidR="009F0B66">
              <w:rPr>
                <w:rFonts w:ascii="Calibri" w:eastAsia="Calibri" w:hAnsi="Calibri" w:cs="Calibri"/>
              </w:rPr>
              <w:t xml:space="preserve">Home Ownership Team and Neighbourhood Teams will support one another in the </w:t>
            </w:r>
            <w:r w:rsidR="000F5A6A">
              <w:rPr>
                <w:rFonts w:ascii="Calibri" w:eastAsia="Calibri" w:hAnsi="Calibri" w:cs="Calibri"/>
              </w:rPr>
              <w:t>investigation of tenancy fraud in relation to Rent to Buy and Market Rent Tenure types.</w:t>
            </w:r>
          </w:p>
        </w:tc>
      </w:tr>
      <w:tr w:rsidR="00B056B9" w:rsidRPr="007D0DCD" w14:paraId="1D7A1235" w14:textId="77777777" w:rsidTr="05EFFE67">
        <w:tc>
          <w:tcPr>
            <w:tcW w:w="817" w:type="dxa"/>
            <w:tcBorders>
              <w:top w:val="nil"/>
              <w:left w:val="nil"/>
              <w:bottom w:val="nil"/>
              <w:right w:val="nil"/>
            </w:tcBorders>
          </w:tcPr>
          <w:p w14:paraId="303A2B54" w14:textId="77777777" w:rsidR="00B056B9" w:rsidRPr="00E82464" w:rsidRDefault="00B056B9" w:rsidP="00B056B9">
            <w:pPr>
              <w:pStyle w:val="ListParagraph"/>
              <w:ind w:left="0"/>
              <w:rPr>
                <w:rFonts w:eastAsia="Times New Roman" w:cs="Arial"/>
                <w:szCs w:val="20"/>
                <w:lang w:eastAsia="en-GB"/>
              </w:rPr>
            </w:pPr>
          </w:p>
        </w:tc>
        <w:tc>
          <w:tcPr>
            <w:tcW w:w="8816" w:type="dxa"/>
            <w:tcBorders>
              <w:top w:val="nil"/>
              <w:left w:val="nil"/>
              <w:bottom w:val="nil"/>
              <w:right w:val="nil"/>
            </w:tcBorders>
          </w:tcPr>
          <w:p w14:paraId="429D0949" w14:textId="77777777" w:rsidR="00B056B9" w:rsidRDefault="00B056B9" w:rsidP="553986A7">
            <w:pPr>
              <w:rPr>
                <w:rFonts w:ascii="Calibri" w:eastAsia="Calibri" w:hAnsi="Calibri" w:cs="Calibri"/>
              </w:rPr>
            </w:pPr>
          </w:p>
        </w:tc>
      </w:tr>
      <w:tr w:rsidR="000F5A6A" w:rsidRPr="007D0DCD" w14:paraId="3874D4FD" w14:textId="77777777" w:rsidTr="05EFFE67">
        <w:tc>
          <w:tcPr>
            <w:tcW w:w="817" w:type="dxa"/>
            <w:tcBorders>
              <w:top w:val="nil"/>
              <w:left w:val="nil"/>
              <w:bottom w:val="nil"/>
              <w:right w:val="nil"/>
            </w:tcBorders>
          </w:tcPr>
          <w:p w14:paraId="1984302B" w14:textId="77777777" w:rsidR="000F5A6A" w:rsidRPr="00E82464" w:rsidRDefault="000F5A6A"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F389338" w14:textId="448D0846" w:rsidR="000F5A6A" w:rsidRDefault="000F5A6A" w:rsidP="553986A7">
            <w:pPr>
              <w:rPr>
                <w:rFonts w:ascii="Calibri" w:eastAsia="Calibri" w:hAnsi="Calibri" w:cs="Calibri"/>
              </w:rPr>
            </w:pPr>
            <w:r>
              <w:rPr>
                <w:rFonts w:ascii="Calibri" w:eastAsia="Calibri" w:hAnsi="Calibri" w:cs="Calibri"/>
              </w:rPr>
              <w:t xml:space="preserve">The Neighbourhood Team will investigate reports in relation to tenancy fraud </w:t>
            </w:r>
            <w:r w:rsidR="007678FD">
              <w:rPr>
                <w:rFonts w:ascii="Calibri" w:eastAsia="Calibri" w:hAnsi="Calibri" w:cs="Calibri"/>
              </w:rPr>
              <w:t>for social and affordable rent properties. They may also work to support any investigations or reports for those applying for social or affordable rent tenancies under the choice-based lettings schemes of the relevant local auth</w:t>
            </w:r>
            <w:r w:rsidR="005850A4">
              <w:rPr>
                <w:rFonts w:ascii="Calibri" w:eastAsia="Calibri" w:hAnsi="Calibri" w:cs="Calibri"/>
              </w:rPr>
              <w:t xml:space="preserve">ority. </w:t>
            </w:r>
          </w:p>
        </w:tc>
      </w:tr>
      <w:tr w:rsidR="00D429F4" w:rsidRPr="007D0DCD" w14:paraId="7847D2A5" w14:textId="77777777" w:rsidTr="05EFFE67">
        <w:tc>
          <w:tcPr>
            <w:tcW w:w="817" w:type="dxa"/>
            <w:tcBorders>
              <w:top w:val="nil"/>
              <w:left w:val="nil"/>
              <w:bottom w:val="nil"/>
              <w:right w:val="nil"/>
            </w:tcBorders>
          </w:tcPr>
          <w:p w14:paraId="2094A8F3" w14:textId="77777777" w:rsidR="00D429F4" w:rsidRPr="00E82464" w:rsidRDefault="00D429F4" w:rsidP="00D429F4">
            <w:pPr>
              <w:rPr>
                <w:rFonts w:eastAsia="Times New Roman" w:cs="Arial"/>
                <w:szCs w:val="20"/>
                <w:lang w:eastAsia="en-GB"/>
              </w:rPr>
            </w:pPr>
          </w:p>
        </w:tc>
        <w:tc>
          <w:tcPr>
            <w:tcW w:w="8816" w:type="dxa"/>
            <w:tcBorders>
              <w:top w:val="nil"/>
              <w:left w:val="nil"/>
              <w:bottom w:val="nil"/>
              <w:right w:val="nil"/>
            </w:tcBorders>
          </w:tcPr>
          <w:p w14:paraId="02224899" w14:textId="77777777" w:rsidR="00D429F4" w:rsidRPr="00BA5AF4" w:rsidRDefault="00D429F4" w:rsidP="00D429F4">
            <w:pPr>
              <w:rPr>
                <w:rFonts w:ascii="Calibri" w:eastAsia="Times New Roman" w:hAnsi="Calibri" w:cs="Arial"/>
                <w:szCs w:val="20"/>
                <w:lang w:eastAsia="en-GB"/>
              </w:rPr>
            </w:pPr>
          </w:p>
        </w:tc>
      </w:tr>
      <w:tr w:rsidR="00D429F4" w:rsidRPr="007D0DCD" w14:paraId="12D45943" w14:textId="77777777" w:rsidTr="05EFFE67">
        <w:tc>
          <w:tcPr>
            <w:tcW w:w="817" w:type="dxa"/>
            <w:tcBorders>
              <w:top w:val="nil"/>
              <w:left w:val="nil"/>
              <w:bottom w:val="nil"/>
              <w:right w:val="nil"/>
            </w:tcBorders>
          </w:tcPr>
          <w:p w14:paraId="498BBDEC"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101F302" w14:textId="50B9DD89" w:rsidR="00D429F4" w:rsidRPr="00BA5AF4" w:rsidRDefault="00D429F4" w:rsidP="00D429F4">
            <w:pPr>
              <w:rPr>
                <w:rFonts w:ascii="Calibri" w:eastAsia="Times New Roman" w:hAnsi="Calibri" w:cs="Arial"/>
                <w:szCs w:val="20"/>
                <w:lang w:eastAsia="en-GB"/>
              </w:rPr>
            </w:pPr>
            <w:r>
              <w:rPr>
                <w:rFonts w:ascii="Calibri" w:eastAsia="Calibri" w:hAnsi="Calibri" w:cs="Calibri"/>
              </w:rPr>
              <w:t>All colleagues and contractors of the Trust are responsible for reporting potential tenancy fraud, as detailed above.</w:t>
            </w:r>
            <w:r w:rsidR="006A6277">
              <w:rPr>
                <w:rFonts w:ascii="Calibri" w:eastAsia="Calibri" w:hAnsi="Calibri" w:cs="Calibri"/>
              </w:rPr>
              <w:t xml:space="preserve"> Reports should be made to the Neighbourhood Team</w:t>
            </w:r>
          </w:p>
        </w:tc>
      </w:tr>
      <w:tr w:rsidR="00D429F4" w:rsidRPr="007D0DCD" w14:paraId="4E55E061" w14:textId="77777777" w:rsidTr="05EFFE67">
        <w:tc>
          <w:tcPr>
            <w:tcW w:w="817" w:type="dxa"/>
            <w:tcBorders>
              <w:top w:val="nil"/>
              <w:left w:val="nil"/>
              <w:bottom w:val="nil"/>
              <w:right w:val="nil"/>
            </w:tcBorders>
          </w:tcPr>
          <w:p w14:paraId="46A6C0A2" w14:textId="77777777" w:rsidR="00D429F4" w:rsidRPr="00E82464" w:rsidRDefault="00D429F4" w:rsidP="00D429F4">
            <w:pPr>
              <w:pStyle w:val="ListParagraph"/>
              <w:ind w:left="0"/>
              <w:rPr>
                <w:rFonts w:eastAsia="Times New Roman" w:cs="Arial"/>
                <w:szCs w:val="20"/>
                <w:lang w:eastAsia="en-GB"/>
              </w:rPr>
            </w:pPr>
          </w:p>
        </w:tc>
        <w:tc>
          <w:tcPr>
            <w:tcW w:w="8816" w:type="dxa"/>
            <w:tcBorders>
              <w:top w:val="nil"/>
              <w:left w:val="nil"/>
              <w:bottom w:val="nil"/>
              <w:right w:val="nil"/>
            </w:tcBorders>
          </w:tcPr>
          <w:p w14:paraId="0638DBD3" w14:textId="77777777" w:rsidR="00D429F4" w:rsidRPr="00BA5AF4" w:rsidRDefault="00D429F4" w:rsidP="00D429F4">
            <w:pPr>
              <w:rPr>
                <w:rFonts w:ascii="Calibri" w:eastAsia="Times New Roman" w:hAnsi="Calibri" w:cs="Arial"/>
                <w:szCs w:val="20"/>
                <w:lang w:eastAsia="en-GB"/>
              </w:rPr>
            </w:pPr>
          </w:p>
        </w:tc>
      </w:tr>
      <w:tr w:rsidR="00D429F4" w:rsidRPr="007D0DCD" w14:paraId="38743948" w14:textId="77777777" w:rsidTr="05EFFE67">
        <w:tc>
          <w:tcPr>
            <w:tcW w:w="817" w:type="dxa"/>
            <w:tcBorders>
              <w:top w:val="nil"/>
              <w:left w:val="nil"/>
              <w:bottom w:val="nil"/>
              <w:right w:val="nil"/>
            </w:tcBorders>
          </w:tcPr>
          <w:p w14:paraId="5CE9B2F9"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C83D44D" w14:textId="33514CDD" w:rsidR="00D429F4" w:rsidRPr="00BA5AF4" w:rsidRDefault="006A6277" w:rsidP="00D429F4">
            <w:pPr>
              <w:rPr>
                <w:rFonts w:ascii="Calibri" w:eastAsia="Times New Roman" w:hAnsi="Calibri" w:cs="Arial"/>
                <w:szCs w:val="20"/>
                <w:lang w:eastAsia="en-GB"/>
              </w:rPr>
            </w:pPr>
            <w:r>
              <w:rPr>
                <w:rFonts w:ascii="Calibri" w:eastAsia="Times New Roman" w:hAnsi="Calibri" w:cs="Arial"/>
                <w:szCs w:val="20"/>
                <w:lang w:eastAsia="en-GB"/>
              </w:rPr>
              <w:t xml:space="preserve">Customers are encouraged to report potential tenancy fraud via the online form on the Trusts website, over the phone, email or in person to any member of Trust staff. </w:t>
            </w:r>
          </w:p>
        </w:tc>
      </w:tr>
      <w:tr w:rsidR="00D429F4" w:rsidRPr="007D0DCD" w14:paraId="31DF34BF" w14:textId="77777777" w:rsidTr="05EFFE67">
        <w:tc>
          <w:tcPr>
            <w:tcW w:w="817" w:type="dxa"/>
            <w:tcBorders>
              <w:top w:val="nil"/>
              <w:left w:val="nil"/>
              <w:bottom w:val="nil"/>
              <w:right w:val="nil"/>
            </w:tcBorders>
          </w:tcPr>
          <w:p w14:paraId="5DC6588B" w14:textId="77777777" w:rsidR="00D429F4" w:rsidRPr="00E82464" w:rsidRDefault="00D429F4" w:rsidP="00D429F4">
            <w:pPr>
              <w:pStyle w:val="ListParagraph"/>
              <w:ind w:left="0"/>
              <w:rPr>
                <w:rFonts w:eastAsia="Times New Roman" w:cs="Arial"/>
                <w:szCs w:val="20"/>
                <w:lang w:eastAsia="en-GB"/>
              </w:rPr>
            </w:pPr>
          </w:p>
        </w:tc>
        <w:tc>
          <w:tcPr>
            <w:tcW w:w="8816" w:type="dxa"/>
            <w:tcBorders>
              <w:top w:val="nil"/>
              <w:left w:val="nil"/>
              <w:bottom w:val="nil"/>
              <w:right w:val="nil"/>
            </w:tcBorders>
          </w:tcPr>
          <w:p w14:paraId="1D3FC116" w14:textId="77777777" w:rsidR="00D429F4" w:rsidRPr="00BA5AF4" w:rsidRDefault="00D429F4" w:rsidP="00D429F4">
            <w:pPr>
              <w:rPr>
                <w:rFonts w:ascii="Calibri" w:eastAsia="Times New Roman" w:hAnsi="Calibri" w:cs="Arial"/>
                <w:szCs w:val="20"/>
                <w:lang w:eastAsia="en-GB"/>
              </w:rPr>
            </w:pPr>
          </w:p>
        </w:tc>
      </w:tr>
      <w:tr w:rsidR="005850A4" w:rsidRPr="007D0DCD" w14:paraId="4B3C266A" w14:textId="77777777" w:rsidTr="05EFFE67">
        <w:tc>
          <w:tcPr>
            <w:tcW w:w="817" w:type="dxa"/>
            <w:tcBorders>
              <w:top w:val="nil"/>
              <w:left w:val="nil"/>
              <w:bottom w:val="nil"/>
              <w:right w:val="nil"/>
            </w:tcBorders>
          </w:tcPr>
          <w:p w14:paraId="733030FA" w14:textId="00FC1F9B" w:rsidR="005850A4" w:rsidRPr="00E82464" w:rsidRDefault="005850A4" w:rsidP="005850A4">
            <w:pPr>
              <w:pStyle w:val="ListParagraph"/>
              <w:numPr>
                <w:ilvl w:val="1"/>
                <w:numId w:val="5"/>
              </w:numPr>
              <w:rPr>
                <w:rFonts w:eastAsia="Times New Roman" w:cs="Arial"/>
                <w:szCs w:val="20"/>
                <w:lang w:eastAsia="en-GB"/>
              </w:rPr>
            </w:pPr>
            <w:r>
              <w:rPr>
                <w:rFonts w:eastAsia="Times New Roman" w:cs="Arial"/>
                <w:szCs w:val="20"/>
                <w:lang w:eastAsia="en-GB"/>
              </w:rPr>
              <w:t>7</w:t>
            </w:r>
          </w:p>
        </w:tc>
        <w:tc>
          <w:tcPr>
            <w:tcW w:w="8816" w:type="dxa"/>
            <w:tcBorders>
              <w:top w:val="nil"/>
              <w:left w:val="nil"/>
              <w:bottom w:val="nil"/>
              <w:right w:val="nil"/>
            </w:tcBorders>
          </w:tcPr>
          <w:p w14:paraId="1AD3D26C" w14:textId="5962E4CE" w:rsidR="005850A4" w:rsidRPr="00B056B9" w:rsidRDefault="00281D65" w:rsidP="005850A4">
            <w:r>
              <w:t>Where customer data is not available or missing, contact with our tenant enables us to acquire it for our records. The act of carrying out any kind of audit with our tenants allows the identification and understanding of the needs of individual</w:t>
            </w:r>
            <w:r w:rsidR="00E605C8">
              <w:t xml:space="preserve">s. </w:t>
            </w:r>
          </w:p>
        </w:tc>
      </w:tr>
      <w:tr w:rsidR="00D429F4" w:rsidRPr="007D0DCD" w14:paraId="0601A0F3" w14:textId="77777777" w:rsidTr="05EFFE67">
        <w:tc>
          <w:tcPr>
            <w:tcW w:w="817" w:type="dxa"/>
            <w:tcBorders>
              <w:top w:val="nil"/>
              <w:left w:val="nil"/>
              <w:bottom w:val="nil"/>
              <w:right w:val="nil"/>
            </w:tcBorders>
          </w:tcPr>
          <w:p w14:paraId="08B06888" w14:textId="77777777" w:rsidR="00D429F4" w:rsidRPr="00E82464" w:rsidRDefault="00D429F4" w:rsidP="00D429F4">
            <w:pPr>
              <w:pStyle w:val="ListParagraph"/>
              <w:ind w:left="0"/>
              <w:rPr>
                <w:rFonts w:eastAsia="Times New Roman" w:cs="Arial"/>
                <w:szCs w:val="20"/>
                <w:lang w:eastAsia="en-GB"/>
              </w:rPr>
            </w:pPr>
          </w:p>
        </w:tc>
        <w:tc>
          <w:tcPr>
            <w:tcW w:w="8816" w:type="dxa"/>
            <w:tcBorders>
              <w:top w:val="nil"/>
              <w:left w:val="nil"/>
              <w:bottom w:val="nil"/>
              <w:right w:val="nil"/>
            </w:tcBorders>
          </w:tcPr>
          <w:p w14:paraId="72A6D9E2" w14:textId="77777777" w:rsidR="00D429F4" w:rsidRPr="00BA5AF4" w:rsidRDefault="00D429F4" w:rsidP="00D429F4">
            <w:pPr>
              <w:rPr>
                <w:rFonts w:ascii="Calibri" w:eastAsia="Times New Roman" w:hAnsi="Calibri" w:cs="Arial"/>
                <w:szCs w:val="20"/>
                <w:lang w:eastAsia="en-GB"/>
              </w:rPr>
            </w:pPr>
          </w:p>
        </w:tc>
      </w:tr>
      <w:tr w:rsidR="00D429F4" w:rsidRPr="007D0DCD" w14:paraId="345C3FED" w14:textId="77777777" w:rsidTr="05EFFE67">
        <w:trPr>
          <w:trHeight w:hRule="exact" w:val="340"/>
        </w:trPr>
        <w:tc>
          <w:tcPr>
            <w:tcW w:w="817" w:type="dxa"/>
            <w:tcBorders>
              <w:top w:val="nil"/>
              <w:left w:val="nil"/>
              <w:bottom w:val="nil"/>
              <w:right w:val="nil"/>
            </w:tcBorders>
          </w:tcPr>
          <w:p w14:paraId="2E4D5C4F" w14:textId="77777777" w:rsidR="00D429F4" w:rsidRPr="00E82464" w:rsidRDefault="00D429F4" w:rsidP="00D429F4">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68DAFE57" w14:textId="61B1C55D" w:rsidR="00D429F4" w:rsidRPr="00601BEC" w:rsidRDefault="00D429F4" w:rsidP="00D429F4">
            <w:pPr>
              <w:pStyle w:val="Heading1"/>
              <w:rPr>
                <w:rFonts w:eastAsia="Cambria"/>
                <w:szCs w:val="24"/>
                <w:lang w:val="en-US"/>
              </w:rPr>
            </w:pPr>
            <w:bookmarkStart w:id="23" w:name="_Toc116910375"/>
            <w:r w:rsidRPr="006B16FC">
              <w:rPr>
                <w:lang w:val="en-US"/>
              </w:rPr>
              <w:t xml:space="preserve">MONITORING </w:t>
            </w:r>
            <w:r>
              <w:rPr>
                <w:lang w:val="en-US"/>
              </w:rPr>
              <w:t>AND REPORTING</w:t>
            </w:r>
            <w:bookmarkEnd w:id="23"/>
          </w:p>
        </w:tc>
      </w:tr>
      <w:tr w:rsidR="00D429F4" w:rsidRPr="007D0DCD" w14:paraId="3ABF17A8" w14:textId="77777777" w:rsidTr="05EFFE67">
        <w:tc>
          <w:tcPr>
            <w:tcW w:w="817" w:type="dxa"/>
            <w:tcBorders>
              <w:top w:val="nil"/>
              <w:left w:val="nil"/>
              <w:bottom w:val="nil"/>
              <w:right w:val="nil"/>
            </w:tcBorders>
          </w:tcPr>
          <w:p w14:paraId="520D254A"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5D5C5894" w14:textId="5740C39A" w:rsidR="00D429F4" w:rsidRPr="00E67CFA" w:rsidRDefault="00D429F4" w:rsidP="00D429F4">
            <w:pPr>
              <w:rPr>
                <w:i/>
                <w:iCs/>
                <w:color w:val="A6A6A6" w:themeColor="background1" w:themeShade="A6"/>
                <w:lang w:val="en-US"/>
              </w:rPr>
            </w:pPr>
          </w:p>
        </w:tc>
      </w:tr>
      <w:tr w:rsidR="00D429F4" w:rsidRPr="007D0DCD" w14:paraId="470AE2B7" w14:textId="77777777" w:rsidTr="05EFFE67">
        <w:tc>
          <w:tcPr>
            <w:tcW w:w="817" w:type="dxa"/>
            <w:tcBorders>
              <w:top w:val="nil"/>
              <w:left w:val="nil"/>
              <w:bottom w:val="nil"/>
              <w:right w:val="nil"/>
            </w:tcBorders>
          </w:tcPr>
          <w:p w14:paraId="4FFB6577"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28BD5C2D" w14:textId="77777777" w:rsidR="00D429F4" w:rsidRDefault="00D429F4" w:rsidP="00D429F4">
            <w:pPr>
              <w:rPr>
                <w:rFonts w:ascii="Calibri" w:eastAsia="Calibri" w:hAnsi="Calibri" w:cs="Calibri"/>
              </w:rPr>
            </w:pPr>
            <w:r w:rsidRPr="006D7137">
              <w:rPr>
                <w:rFonts w:ascii="Calibri" w:eastAsia="Calibri" w:hAnsi="Calibri" w:cs="Calibri"/>
              </w:rPr>
              <w:t>The following information will be used to monitor the levels and type of tenancy fraud:</w:t>
            </w:r>
          </w:p>
          <w:p w14:paraId="0386040A" w14:textId="77777777" w:rsidR="00D429F4" w:rsidRPr="006D7137" w:rsidRDefault="00D429F4" w:rsidP="00D429F4">
            <w:pPr>
              <w:rPr>
                <w:rFonts w:ascii="Calibri" w:eastAsia="Calibri" w:hAnsi="Calibri" w:cs="Calibri"/>
              </w:rPr>
            </w:pPr>
          </w:p>
          <w:p w14:paraId="4755B75E" w14:textId="77777777" w:rsidR="00D429F4" w:rsidRPr="006D7137" w:rsidRDefault="00D429F4" w:rsidP="00D429F4">
            <w:pPr>
              <w:rPr>
                <w:rFonts w:ascii="Calibri" w:eastAsia="Calibri" w:hAnsi="Calibri" w:cs="Calibri"/>
              </w:rPr>
            </w:pPr>
            <w:r w:rsidRPr="006D7137">
              <w:rPr>
                <w:rFonts w:ascii="Calibri" w:eastAsia="Calibri" w:hAnsi="Calibri" w:cs="Calibri"/>
              </w:rPr>
              <w:t xml:space="preserve">• The numbers </w:t>
            </w:r>
            <w:r>
              <w:rPr>
                <w:rFonts w:ascii="Calibri" w:eastAsia="Calibri" w:hAnsi="Calibri" w:cs="Calibri"/>
              </w:rPr>
              <w:t xml:space="preserve">and types </w:t>
            </w:r>
            <w:r w:rsidRPr="006D7137">
              <w:rPr>
                <w:rFonts w:ascii="Calibri" w:eastAsia="Calibri" w:hAnsi="Calibri" w:cs="Calibri"/>
              </w:rPr>
              <w:t xml:space="preserve">of suspected tenancy frauds </w:t>
            </w:r>
          </w:p>
          <w:p w14:paraId="3E6872C8" w14:textId="77777777" w:rsidR="00D429F4" w:rsidRPr="006D7137" w:rsidRDefault="00D429F4" w:rsidP="00D429F4">
            <w:pPr>
              <w:rPr>
                <w:rFonts w:ascii="Calibri" w:eastAsia="Calibri" w:hAnsi="Calibri" w:cs="Calibri"/>
              </w:rPr>
            </w:pPr>
            <w:r w:rsidRPr="006D7137">
              <w:rPr>
                <w:rFonts w:ascii="Calibri" w:eastAsia="Calibri" w:hAnsi="Calibri" w:cs="Calibri"/>
              </w:rPr>
              <w:t>• The number of actions and outcomes of Tenancy Fraud investigations</w:t>
            </w:r>
          </w:p>
          <w:p w14:paraId="48083022" w14:textId="77777777" w:rsidR="00D429F4" w:rsidRDefault="00D429F4" w:rsidP="00D429F4">
            <w:pPr>
              <w:rPr>
                <w:rFonts w:ascii="Calibri" w:eastAsia="Calibri" w:hAnsi="Calibri" w:cs="Calibri"/>
              </w:rPr>
            </w:pPr>
          </w:p>
          <w:p w14:paraId="7A707379" w14:textId="5BCD083A" w:rsidR="00D429F4" w:rsidRPr="00BA5AF4" w:rsidRDefault="00D429F4" w:rsidP="00D429F4">
            <w:pPr>
              <w:rPr>
                <w:rFonts w:ascii="Calibri" w:eastAsia="Times New Roman" w:hAnsi="Calibri" w:cs="Arial"/>
                <w:szCs w:val="20"/>
                <w:lang w:eastAsia="en-GB"/>
              </w:rPr>
            </w:pPr>
            <w:r w:rsidRPr="006D7137">
              <w:rPr>
                <w:rFonts w:ascii="Calibri" w:eastAsia="Calibri" w:hAnsi="Calibri" w:cs="Calibri"/>
              </w:rPr>
              <w:t xml:space="preserve">This information will be taken from </w:t>
            </w:r>
            <w:r>
              <w:rPr>
                <w:rFonts w:ascii="Calibri" w:eastAsia="Calibri" w:hAnsi="Calibri" w:cs="Calibri"/>
              </w:rPr>
              <w:t>Open Housing</w:t>
            </w:r>
            <w:r w:rsidRPr="006D7137">
              <w:rPr>
                <w:rFonts w:ascii="Calibri" w:eastAsia="Calibri" w:hAnsi="Calibri" w:cs="Calibri"/>
              </w:rPr>
              <w:t xml:space="preserve"> and reported</w:t>
            </w:r>
            <w:r>
              <w:rPr>
                <w:rFonts w:ascii="Calibri" w:eastAsia="Calibri" w:hAnsi="Calibri" w:cs="Calibri"/>
              </w:rPr>
              <w:t>.</w:t>
            </w:r>
          </w:p>
        </w:tc>
      </w:tr>
      <w:tr w:rsidR="00D429F4" w:rsidRPr="007D0DCD" w14:paraId="2AFA49DB" w14:textId="77777777" w:rsidTr="05EFFE67">
        <w:tc>
          <w:tcPr>
            <w:tcW w:w="817" w:type="dxa"/>
            <w:tcBorders>
              <w:top w:val="nil"/>
              <w:left w:val="nil"/>
              <w:bottom w:val="nil"/>
              <w:right w:val="nil"/>
            </w:tcBorders>
          </w:tcPr>
          <w:p w14:paraId="07A866C4" w14:textId="77777777" w:rsidR="00D429F4" w:rsidRPr="00E82464" w:rsidRDefault="00D429F4" w:rsidP="00D429F4">
            <w:pPr>
              <w:pStyle w:val="ListParagraph"/>
              <w:ind w:left="0"/>
              <w:rPr>
                <w:rFonts w:eastAsia="Times New Roman" w:cs="Arial"/>
                <w:szCs w:val="20"/>
                <w:lang w:eastAsia="en-GB"/>
              </w:rPr>
            </w:pPr>
          </w:p>
        </w:tc>
        <w:tc>
          <w:tcPr>
            <w:tcW w:w="8816" w:type="dxa"/>
            <w:tcBorders>
              <w:top w:val="nil"/>
              <w:left w:val="nil"/>
              <w:bottom w:val="nil"/>
              <w:right w:val="nil"/>
            </w:tcBorders>
          </w:tcPr>
          <w:p w14:paraId="627B3056" w14:textId="77777777" w:rsidR="00D429F4" w:rsidRPr="00BA5AF4" w:rsidRDefault="00D429F4" w:rsidP="00D429F4">
            <w:pPr>
              <w:rPr>
                <w:rFonts w:ascii="Calibri" w:eastAsia="Times New Roman" w:hAnsi="Calibri" w:cs="Arial"/>
                <w:szCs w:val="20"/>
                <w:lang w:eastAsia="en-GB"/>
              </w:rPr>
            </w:pPr>
          </w:p>
        </w:tc>
      </w:tr>
      <w:tr w:rsidR="00D429F4" w:rsidRPr="007D0DCD" w14:paraId="370FD2E0" w14:textId="77777777" w:rsidTr="05EFFE67">
        <w:tc>
          <w:tcPr>
            <w:tcW w:w="817" w:type="dxa"/>
            <w:tcBorders>
              <w:top w:val="nil"/>
              <w:left w:val="nil"/>
              <w:bottom w:val="nil"/>
              <w:right w:val="nil"/>
            </w:tcBorders>
          </w:tcPr>
          <w:p w14:paraId="5EF01EA3" w14:textId="77777777" w:rsidR="00D429F4" w:rsidRPr="00E82464" w:rsidRDefault="00D429F4" w:rsidP="00D429F4">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3CD44961" w14:textId="3A4E17BB" w:rsidR="00D429F4" w:rsidRPr="00BA5AF4" w:rsidRDefault="00D429F4" w:rsidP="00D429F4">
            <w:pPr>
              <w:rPr>
                <w:rFonts w:ascii="Calibri" w:eastAsia="Times New Roman" w:hAnsi="Calibri" w:cs="Arial"/>
                <w:szCs w:val="20"/>
                <w:lang w:eastAsia="en-GB"/>
              </w:rPr>
            </w:pPr>
            <w:r w:rsidRPr="006739D2">
              <w:rPr>
                <w:rFonts w:ascii="Calibri" w:eastAsia="Calibri" w:hAnsi="Calibri" w:cs="Calibri"/>
              </w:rPr>
              <w:t xml:space="preserve">The Trust Executive management team will receive information on the operation of </w:t>
            </w:r>
            <w:r>
              <w:rPr>
                <w:rFonts w:ascii="Calibri" w:eastAsia="Calibri" w:hAnsi="Calibri" w:cs="Calibri"/>
              </w:rPr>
              <w:t>the Tenancy Fraud policy</w:t>
            </w:r>
            <w:r w:rsidRPr="006739D2">
              <w:rPr>
                <w:rFonts w:ascii="Calibri" w:eastAsia="Calibri" w:hAnsi="Calibri" w:cs="Calibri"/>
              </w:rPr>
              <w:t xml:space="preserve"> and report to Board </w:t>
            </w:r>
            <w:r>
              <w:rPr>
                <w:rFonts w:ascii="Calibri" w:eastAsia="Calibri" w:hAnsi="Calibri" w:cs="Calibri"/>
              </w:rPr>
              <w:t xml:space="preserve">and or Audit Committee </w:t>
            </w:r>
            <w:r w:rsidRPr="006739D2">
              <w:rPr>
                <w:rFonts w:ascii="Calibri" w:eastAsia="Calibri" w:hAnsi="Calibri" w:cs="Calibri"/>
              </w:rPr>
              <w:t>if appropriate to do so.</w:t>
            </w:r>
          </w:p>
        </w:tc>
      </w:tr>
      <w:tr w:rsidR="00D429F4" w:rsidRPr="007D0DCD" w14:paraId="5EC52C4D" w14:textId="77777777" w:rsidTr="05EFFE67">
        <w:tc>
          <w:tcPr>
            <w:tcW w:w="817" w:type="dxa"/>
            <w:tcBorders>
              <w:top w:val="nil"/>
              <w:left w:val="nil"/>
              <w:bottom w:val="nil"/>
              <w:right w:val="nil"/>
            </w:tcBorders>
          </w:tcPr>
          <w:p w14:paraId="3E8BED66" w14:textId="77777777" w:rsidR="00D429F4" w:rsidRPr="00E82464" w:rsidRDefault="00D429F4" w:rsidP="00D429F4">
            <w:pPr>
              <w:pStyle w:val="ListParagraph"/>
              <w:ind w:left="0"/>
              <w:rPr>
                <w:rFonts w:eastAsia="Times New Roman" w:cs="Arial"/>
                <w:szCs w:val="20"/>
                <w:lang w:eastAsia="en-GB"/>
              </w:rPr>
            </w:pPr>
          </w:p>
        </w:tc>
        <w:tc>
          <w:tcPr>
            <w:tcW w:w="8816" w:type="dxa"/>
            <w:tcBorders>
              <w:top w:val="nil"/>
              <w:left w:val="nil"/>
              <w:bottom w:val="nil"/>
              <w:right w:val="nil"/>
            </w:tcBorders>
          </w:tcPr>
          <w:p w14:paraId="191F3F1E" w14:textId="77777777" w:rsidR="00D429F4" w:rsidRPr="00BA5AF4" w:rsidRDefault="00D429F4" w:rsidP="00D429F4">
            <w:pPr>
              <w:rPr>
                <w:rFonts w:ascii="Calibri" w:eastAsia="Times New Roman" w:hAnsi="Calibri" w:cs="Arial"/>
                <w:szCs w:val="20"/>
                <w:lang w:eastAsia="en-GB"/>
              </w:rPr>
            </w:pPr>
          </w:p>
        </w:tc>
      </w:tr>
      <w:tr w:rsidR="00D429F4" w:rsidRPr="007D0DCD" w14:paraId="0E2373E6" w14:textId="77777777" w:rsidTr="05EFFE67">
        <w:tc>
          <w:tcPr>
            <w:tcW w:w="817" w:type="dxa"/>
            <w:tcBorders>
              <w:top w:val="nil"/>
              <w:left w:val="nil"/>
              <w:bottom w:val="nil"/>
              <w:right w:val="nil"/>
            </w:tcBorders>
          </w:tcPr>
          <w:p w14:paraId="10EFD183" w14:textId="77777777" w:rsidR="00D429F4" w:rsidRPr="00E82464" w:rsidRDefault="00D429F4" w:rsidP="00D429F4">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5B4556E5" w14:textId="394E24D1" w:rsidR="00D429F4" w:rsidRPr="00601BEC" w:rsidRDefault="00D429F4" w:rsidP="00D429F4">
            <w:pPr>
              <w:pStyle w:val="Heading1"/>
              <w:rPr>
                <w:rFonts w:cs="Arial"/>
                <w:szCs w:val="20"/>
                <w:lang w:eastAsia="en-GB"/>
              </w:rPr>
            </w:pPr>
            <w:bookmarkStart w:id="24" w:name="_Toc116910376"/>
            <w:r w:rsidRPr="00601BEC">
              <w:rPr>
                <w:lang w:val="en-US"/>
              </w:rPr>
              <w:t>CONSULTATION</w:t>
            </w:r>
            <w:bookmarkEnd w:id="24"/>
          </w:p>
        </w:tc>
      </w:tr>
      <w:tr w:rsidR="00D429F4" w:rsidRPr="007D0DCD" w14:paraId="3C8620D2" w14:textId="77777777" w:rsidTr="05EFFE67">
        <w:tc>
          <w:tcPr>
            <w:tcW w:w="817" w:type="dxa"/>
            <w:tcBorders>
              <w:top w:val="nil"/>
              <w:left w:val="nil"/>
              <w:bottom w:val="nil"/>
              <w:right w:val="nil"/>
            </w:tcBorders>
          </w:tcPr>
          <w:p w14:paraId="19BB5D00"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43EB7F79" w14:textId="2142DDD1" w:rsidR="00D429F4" w:rsidRPr="00B06B2A" w:rsidRDefault="00D429F4" w:rsidP="00D429F4">
            <w:pPr>
              <w:rPr>
                <w:b/>
                <w:bCs/>
                <w:i/>
                <w:iCs/>
                <w:color w:val="A6A6A6" w:themeColor="background1" w:themeShade="A6"/>
                <w:lang w:val="en-US"/>
              </w:rPr>
            </w:pPr>
          </w:p>
        </w:tc>
      </w:tr>
      <w:tr w:rsidR="00D429F4" w:rsidRPr="007D0DCD" w14:paraId="4352E24B" w14:textId="77777777" w:rsidTr="05EFFE67">
        <w:tc>
          <w:tcPr>
            <w:tcW w:w="817" w:type="dxa"/>
            <w:tcBorders>
              <w:top w:val="nil"/>
              <w:left w:val="nil"/>
              <w:bottom w:val="nil"/>
              <w:right w:val="nil"/>
            </w:tcBorders>
          </w:tcPr>
          <w:p w14:paraId="180BAB10"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2AE49D3" w14:textId="07F58A3C" w:rsidR="00D429F4" w:rsidRPr="006A6277" w:rsidRDefault="00D429F4" w:rsidP="00D429F4">
            <w:pPr>
              <w:rPr>
                <w:rFonts w:ascii="Calibri" w:eastAsia="Times New Roman" w:hAnsi="Calibri" w:cs="Arial"/>
                <w:szCs w:val="20"/>
                <w:lang w:eastAsia="en-GB"/>
              </w:rPr>
            </w:pPr>
            <w:r w:rsidRPr="006A6277">
              <w:rPr>
                <w:rFonts w:ascii="Calibri" w:eastAsia="Times New Roman" w:hAnsi="Calibri" w:cs="Arial"/>
                <w:szCs w:val="20"/>
                <w:lang w:eastAsia="en-GB"/>
              </w:rPr>
              <w:t xml:space="preserve">The Trusts Challenge Group has been consulted on this policy. </w:t>
            </w:r>
          </w:p>
        </w:tc>
      </w:tr>
      <w:tr w:rsidR="00D429F4" w:rsidRPr="007D0DCD" w14:paraId="43FC4B9D" w14:textId="77777777" w:rsidTr="05EFFE67">
        <w:tc>
          <w:tcPr>
            <w:tcW w:w="817" w:type="dxa"/>
            <w:tcBorders>
              <w:top w:val="nil"/>
              <w:left w:val="nil"/>
              <w:bottom w:val="nil"/>
              <w:right w:val="nil"/>
            </w:tcBorders>
          </w:tcPr>
          <w:p w14:paraId="267AE575"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53C1919E" w14:textId="77777777" w:rsidR="00D429F4" w:rsidRPr="006A6277" w:rsidRDefault="00D429F4" w:rsidP="00D429F4">
            <w:pPr>
              <w:rPr>
                <w:rFonts w:ascii="Calibri" w:eastAsia="Times New Roman" w:hAnsi="Calibri" w:cs="Arial"/>
                <w:szCs w:val="20"/>
                <w:lang w:eastAsia="en-GB"/>
              </w:rPr>
            </w:pPr>
          </w:p>
        </w:tc>
      </w:tr>
      <w:tr w:rsidR="00D429F4" w:rsidRPr="007D0DCD" w14:paraId="15FE3228" w14:textId="77777777" w:rsidTr="05EFFE67">
        <w:tc>
          <w:tcPr>
            <w:tcW w:w="817" w:type="dxa"/>
            <w:tcBorders>
              <w:top w:val="nil"/>
              <w:left w:val="nil"/>
              <w:bottom w:val="nil"/>
              <w:right w:val="nil"/>
            </w:tcBorders>
          </w:tcPr>
          <w:p w14:paraId="548842CA"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A7718C7" w14:textId="6D9FBC26" w:rsidR="00D429F4" w:rsidRPr="00BA5AF4" w:rsidRDefault="00D429F4" w:rsidP="00D429F4">
            <w:pPr>
              <w:rPr>
                <w:rFonts w:ascii="Calibri" w:eastAsia="Times New Roman" w:hAnsi="Calibri" w:cs="Arial"/>
                <w:szCs w:val="20"/>
                <w:lang w:eastAsia="en-GB"/>
              </w:rPr>
            </w:pPr>
            <w:r>
              <w:rPr>
                <w:rFonts w:ascii="Calibri" w:eastAsia="Times New Roman" w:hAnsi="Calibri" w:cs="Arial"/>
                <w:szCs w:val="20"/>
                <w:lang w:eastAsia="en-GB"/>
              </w:rPr>
              <w:t>The Trust’s AMT and SMT Groups have been consulted on this policy.</w:t>
            </w:r>
          </w:p>
        </w:tc>
      </w:tr>
      <w:tr w:rsidR="00D429F4" w:rsidRPr="007D0DCD" w14:paraId="0A90C906" w14:textId="77777777" w:rsidTr="05EFFE67">
        <w:tc>
          <w:tcPr>
            <w:tcW w:w="817" w:type="dxa"/>
            <w:tcBorders>
              <w:top w:val="nil"/>
              <w:left w:val="nil"/>
              <w:bottom w:val="nil"/>
              <w:right w:val="nil"/>
            </w:tcBorders>
          </w:tcPr>
          <w:p w14:paraId="53D6F448"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7866607E" w14:textId="77777777" w:rsidR="00D429F4" w:rsidRPr="00BA5AF4" w:rsidRDefault="00D429F4" w:rsidP="00D429F4">
            <w:pPr>
              <w:rPr>
                <w:rFonts w:ascii="Calibri" w:eastAsia="Times New Roman" w:hAnsi="Calibri" w:cs="Arial"/>
                <w:szCs w:val="20"/>
                <w:lang w:eastAsia="en-GB"/>
              </w:rPr>
            </w:pPr>
          </w:p>
        </w:tc>
      </w:tr>
      <w:tr w:rsidR="00D429F4" w:rsidRPr="007D0DCD" w14:paraId="5791F3CB" w14:textId="77777777" w:rsidTr="05EFFE67">
        <w:trPr>
          <w:trHeight w:hRule="exact" w:val="284"/>
        </w:trPr>
        <w:tc>
          <w:tcPr>
            <w:tcW w:w="817" w:type="dxa"/>
            <w:tcBorders>
              <w:top w:val="nil"/>
              <w:left w:val="nil"/>
              <w:bottom w:val="nil"/>
              <w:right w:val="nil"/>
            </w:tcBorders>
          </w:tcPr>
          <w:p w14:paraId="02A79FCB" w14:textId="77777777" w:rsidR="00D429F4" w:rsidRPr="00E82464" w:rsidRDefault="00D429F4" w:rsidP="00D429F4">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73A9E3B8" w14:textId="674B54B0" w:rsidR="00D429F4" w:rsidRPr="00601BEC" w:rsidRDefault="00D429F4" w:rsidP="00D429F4">
            <w:pPr>
              <w:pStyle w:val="Heading1"/>
              <w:rPr>
                <w:rFonts w:eastAsia="Cambria"/>
                <w:szCs w:val="24"/>
                <w:lang w:val="en-US"/>
              </w:rPr>
            </w:pPr>
            <w:bookmarkStart w:id="25" w:name="_Toc116910377"/>
            <w:r w:rsidRPr="00C305C0">
              <w:rPr>
                <w:lang w:val="en-US"/>
              </w:rPr>
              <w:t>REVIEW</w:t>
            </w:r>
            <w:bookmarkEnd w:id="25"/>
            <w:r w:rsidRPr="00C305C0">
              <w:rPr>
                <w:lang w:val="en-US"/>
              </w:rPr>
              <w:t xml:space="preserve">  </w:t>
            </w:r>
          </w:p>
        </w:tc>
      </w:tr>
      <w:tr w:rsidR="00D429F4" w:rsidRPr="007D0DCD" w14:paraId="54F327F0" w14:textId="77777777" w:rsidTr="05EFFE67">
        <w:tc>
          <w:tcPr>
            <w:tcW w:w="817" w:type="dxa"/>
            <w:tcBorders>
              <w:top w:val="nil"/>
              <w:left w:val="nil"/>
              <w:bottom w:val="nil"/>
              <w:right w:val="nil"/>
            </w:tcBorders>
          </w:tcPr>
          <w:p w14:paraId="15429D86"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37A1CAF0" w14:textId="61218FD9" w:rsidR="00D429F4" w:rsidRPr="00E905ED" w:rsidRDefault="00D429F4" w:rsidP="00D429F4">
            <w:pPr>
              <w:rPr>
                <w:i/>
                <w:iCs/>
                <w:color w:val="A6A6A6" w:themeColor="background1" w:themeShade="A6"/>
                <w:lang w:val="en-US"/>
              </w:rPr>
            </w:pPr>
          </w:p>
        </w:tc>
      </w:tr>
      <w:tr w:rsidR="00D429F4" w:rsidRPr="007D0DCD" w14:paraId="797154B9" w14:textId="77777777" w:rsidTr="05EFFE67">
        <w:tc>
          <w:tcPr>
            <w:tcW w:w="817" w:type="dxa"/>
            <w:tcBorders>
              <w:top w:val="nil"/>
              <w:left w:val="nil"/>
              <w:bottom w:val="nil"/>
              <w:right w:val="nil"/>
            </w:tcBorders>
          </w:tcPr>
          <w:p w14:paraId="0F4FF85C" w14:textId="77777777" w:rsidR="00D429F4" w:rsidRPr="00E82464" w:rsidRDefault="00D429F4" w:rsidP="00D429F4">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9F7908E" w14:textId="0932ACDB" w:rsidR="00D429F4" w:rsidRPr="006A6277" w:rsidRDefault="00D429F4" w:rsidP="00D429F4">
            <w:pPr>
              <w:rPr>
                <w:rFonts w:ascii="Calibri" w:eastAsia="Times New Roman" w:hAnsi="Calibri" w:cs="Arial"/>
                <w:szCs w:val="20"/>
                <w:lang w:eastAsia="en-GB"/>
              </w:rPr>
            </w:pPr>
            <w:r w:rsidRPr="006A6277">
              <w:rPr>
                <w:rFonts w:ascii="Calibri" w:eastAsia="Times New Roman" w:hAnsi="Calibri" w:cs="Arial"/>
                <w:szCs w:val="20"/>
                <w:lang w:eastAsia="en-GB"/>
              </w:rPr>
              <w:t xml:space="preserve">The Policy will be reviewed every three years. </w:t>
            </w:r>
          </w:p>
        </w:tc>
      </w:tr>
      <w:tr w:rsidR="00D429F4" w:rsidRPr="007D0DCD" w14:paraId="7FAF7CF0" w14:textId="77777777" w:rsidTr="05EFFE67">
        <w:tc>
          <w:tcPr>
            <w:tcW w:w="817" w:type="dxa"/>
            <w:tcBorders>
              <w:top w:val="nil"/>
              <w:left w:val="nil"/>
              <w:bottom w:val="nil"/>
              <w:right w:val="nil"/>
            </w:tcBorders>
          </w:tcPr>
          <w:p w14:paraId="0BCC45CE"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369EA868" w14:textId="77777777" w:rsidR="00D429F4" w:rsidRPr="00BA5AF4" w:rsidRDefault="00D429F4" w:rsidP="00D429F4">
            <w:pPr>
              <w:rPr>
                <w:rFonts w:ascii="Calibri" w:eastAsia="Times New Roman" w:hAnsi="Calibri" w:cs="Arial"/>
                <w:szCs w:val="20"/>
                <w:lang w:eastAsia="en-GB"/>
              </w:rPr>
            </w:pPr>
          </w:p>
        </w:tc>
      </w:tr>
      <w:tr w:rsidR="00D429F4" w:rsidRPr="007D0DCD" w14:paraId="755EF97B" w14:textId="77777777" w:rsidTr="05EFFE67">
        <w:tc>
          <w:tcPr>
            <w:tcW w:w="817" w:type="dxa"/>
            <w:tcBorders>
              <w:top w:val="nil"/>
              <w:left w:val="nil"/>
              <w:bottom w:val="nil"/>
              <w:right w:val="nil"/>
            </w:tcBorders>
          </w:tcPr>
          <w:p w14:paraId="214815CE"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65793123" w14:textId="433D3F69" w:rsidR="00D429F4" w:rsidRPr="000D655A" w:rsidRDefault="00D429F4" w:rsidP="00D429F4">
            <w:pPr>
              <w:pStyle w:val="Heading1"/>
              <w:rPr>
                <w:rFonts w:cs="Arial"/>
                <w:szCs w:val="20"/>
                <w:lang w:eastAsia="en-GB"/>
              </w:rPr>
            </w:pPr>
            <w:bookmarkStart w:id="26" w:name="_Toc116910378"/>
            <w:r w:rsidRPr="000D655A">
              <w:t>ASSOCIATED DOCUMENTS</w:t>
            </w:r>
            <w:bookmarkEnd w:id="26"/>
          </w:p>
        </w:tc>
      </w:tr>
      <w:tr w:rsidR="00D429F4" w:rsidRPr="007D0DCD" w14:paraId="05904695" w14:textId="77777777" w:rsidTr="05EFFE67">
        <w:tc>
          <w:tcPr>
            <w:tcW w:w="817" w:type="dxa"/>
            <w:tcBorders>
              <w:top w:val="nil"/>
              <w:left w:val="nil"/>
              <w:bottom w:val="nil"/>
              <w:right w:val="nil"/>
            </w:tcBorders>
          </w:tcPr>
          <w:p w14:paraId="0DB3FD50" w14:textId="77777777" w:rsidR="00D429F4" w:rsidRPr="000D655A" w:rsidRDefault="00D429F4" w:rsidP="00D429F4">
            <w:pPr>
              <w:rPr>
                <w:rFonts w:eastAsia="Times New Roman" w:cs="Arial"/>
                <w:szCs w:val="20"/>
                <w:lang w:eastAsia="en-GB"/>
              </w:rPr>
            </w:pPr>
          </w:p>
        </w:tc>
        <w:tc>
          <w:tcPr>
            <w:tcW w:w="8816" w:type="dxa"/>
            <w:tcBorders>
              <w:top w:val="nil"/>
              <w:left w:val="nil"/>
              <w:bottom w:val="nil"/>
              <w:right w:val="nil"/>
            </w:tcBorders>
          </w:tcPr>
          <w:p w14:paraId="3174F270" w14:textId="77777777" w:rsidR="00D429F4" w:rsidRPr="006739D2" w:rsidRDefault="00D429F4" w:rsidP="00D429F4">
            <w:pPr>
              <w:pStyle w:val="ListBullet1"/>
            </w:pPr>
            <w:r w:rsidRPr="006739D2">
              <w:t>Tenancy Management Policy</w:t>
            </w:r>
          </w:p>
          <w:p w14:paraId="6E8583FB" w14:textId="4D62C49C" w:rsidR="00D429F4" w:rsidRDefault="36DD5DE9" w:rsidP="00D429F4">
            <w:pPr>
              <w:pStyle w:val="ListBullet1"/>
            </w:pPr>
            <w:r>
              <w:t xml:space="preserve">Equality, </w:t>
            </w:r>
            <w:r w:rsidR="02F3AE84">
              <w:t>Diversity,</w:t>
            </w:r>
            <w:r>
              <w:t xml:space="preserve"> and Inclusion Policy</w:t>
            </w:r>
          </w:p>
          <w:p w14:paraId="13253776" w14:textId="77777777" w:rsidR="00D429F4" w:rsidRPr="006739D2" w:rsidRDefault="00D429F4" w:rsidP="00D429F4">
            <w:pPr>
              <w:pStyle w:val="ListBullet1"/>
            </w:pPr>
            <w:r>
              <w:t>Anti-Fraud, Bribery and Corruption Policy</w:t>
            </w:r>
          </w:p>
          <w:p w14:paraId="68EE2F66" w14:textId="15CD6656" w:rsidR="00D429F4" w:rsidRPr="00237822" w:rsidRDefault="00D429F4" w:rsidP="00D429F4">
            <w:pPr>
              <w:pStyle w:val="ListBullet1"/>
            </w:pPr>
            <w:r w:rsidRPr="005B16D6">
              <w:t>Cheshire Home Choice Allocation Policy &amp; Procedure</w:t>
            </w:r>
          </w:p>
          <w:p w14:paraId="3B07AA75" w14:textId="2D7773BB" w:rsidR="00D429F4" w:rsidRPr="00237822" w:rsidRDefault="00D429F4" w:rsidP="00D429F4">
            <w:pPr>
              <w:pStyle w:val="ListBullet1"/>
            </w:pPr>
            <w:r>
              <w:t>Cheshire West Allocation Policy</w:t>
            </w:r>
          </w:p>
          <w:p w14:paraId="35E298BD" w14:textId="24A64D31" w:rsidR="00D429F4" w:rsidRPr="00237822" w:rsidRDefault="00D429F4" w:rsidP="00D429F4">
            <w:pPr>
              <w:pStyle w:val="ListBullet1"/>
            </w:pPr>
            <w:r>
              <w:t>High Peak Allocation Policy</w:t>
            </w:r>
          </w:p>
          <w:p w14:paraId="6C7B1D4E" w14:textId="7F323318" w:rsidR="00D429F4" w:rsidRPr="00237822" w:rsidRDefault="00D429F4" w:rsidP="00D429F4">
            <w:pPr>
              <w:pStyle w:val="ListBullet1"/>
            </w:pPr>
            <w:r>
              <w:t>Allocation Policy Statement</w:t>
            </w:r>
          </w:p>
          <w:p w14:paraId="624B6D4E" w14:textId="44B605E6" w:rsidR="00D429F4" w:rsidRPr="00237822" w:rsidRDefault="00D429F4" w:rsidP="00D429F4">
            <w:pPr>
              <w:pStyle w:val="ListBullet1"/>
            </w:pPr>
            <w:r>
              <w:t>Tenancy Agreements</w:t>
            </w:r>
          </w:p>
          <w:p w14:paraId="1052155A" w14:textId="07802A43" w:rsidR="00D429F4" w:rsidRPr="00237822" w:rsidRDefault="00D429F4" w:rsidP="00D429F4">
            <w:pPr>
              <w:pStyle w:val="ListBullet1"/>
            </w:pPr>
            <w:r w:rsidRPr="00237822">
              <w:t>Anti Money Laundering Policy</w:t>
            </w:r>
          </w:p>
          <w:p w14:paraId="291D3DC0" w14:textId="51DDC9EF" w:rsidR="00D429F4" w:rsidRPr="00237822" w:rsidRDefault="00D429F4" w:rsidP="00D429F4">
            <w:pPr>
              <w:pStyle w:val="ListBullet1"/>
            </w:pPr>
            <w:r w:rsidRPr="00237822">
              <w:lastRenderedPageBreak/>
              <w:t>Data Protection Policy</w:t>
            </w:r>
          </w:p>
          <w:p w14:paraId="30CFEBF2" w14:textId="76E337EB" w:rsidR="00D429F4" w:rsidRPr="00237822" w:rsidRDefault="00D429F4" w:rsidP="00D429F4">
            <w:pPr>
              <w:pStyle w:val="ListBullet1"/>
            </w:pPr>
            <w:r w:rsidRPr="00237822">
              <w:t>Data Sharing Policy</w:t>
            </w:r>
          </w:p>
          <w:p w14:paraId="45142040" w14:textId="485E8BB0" w:rsidR="00D429F4" w:rsidRPr="00237822" w:rsidRDefault="00D429F4" w:rsidP="00D429F4">
            <w:pPr>
              <w:pStyle w:val="ListBullet1"/>
            </w:pPr>
            <w:r w:rsidRPr="00237822">
              <w:t>Mutual Exchange, Assignment and Succession Policy</w:t>
            </w:r>
          </w:p>
          <w:p w14:paraId="1F38F647" w14:textId="6E8F9C09" w:rsidR="00D429F4" w:rsidRPr="00237822" w:rsidRDefault="00D429F4" w:rsidP="00D429F4">
            <w:pPr>
              <w:pStyle w:val="ListBullet1"/>
            </w:pPr>
            <w:r w:rsidRPr="00237822">
              <w:t>Right to Buy Right to Acquire Policy</w:t>
            </w:r>
          </w:p>
          <w:p w14:paraId="4D09A1C8" w14:textId="781E0BF9" w:rsidR="00D429F4" w:rsidRPr="007B06DD" w:rsidRDefault="00D429F4" w:rsidP="00D429F4">
            <w:pPr>
              <w:rPr>
                <w:i/>
                <w:iCs/>
                <w:color w:val="A6A6A6" w:themeColor="background1" w:themeShade="A6"/>
                <w:lang w:val="en-US"/>
              </w:rPr>
            </w:pPr>
          </w:p>
        </w:tc>
      </w:tr>
    </w:tbl>
    <w:p w14:paraId="7410CBB9" w14:textId="77777777" w:rsidR="0093600A" w:rsidRDefault="0093600A">
      <w:bookmarkStart w:id="27" w:name="_Toc476208633"/>
      <w:bookmarkEnd w:id="27"/>
      <w:bookmarkEnd w:id="2"/>
    </w:p>
    <w:p w14:paraId="49CDB38D" w14:textId="77777777" w:rsidR="00B056B9" w:rsidRDefault="00B056B9"/>
    <w:p w14:paraId="436469E0" w14:textId="77777777" w:rsidR="00532B4E" w:rsidRPr="002A1DD3" w:rsidRDefault="00532B4E" w:rsidP="003C1B99">
      <w:pPr>
        <w:pStyle w:val="Heading1"/>
      </w:pPr>
      <w:bookmarkStart w:id="28" w:name="_Toc116910379"/>
      <w:r w:rsidRPr="002A1DD3">
        <w:t>POLICY INFORMATION</w:t>
      </w:r>
      <w:bookmarkEnd w:id="3"/>
      <w:bookmarkEnd w:id="4"/>
      <w:bookmarkEnd w:id="28"/>
    </w:p>
    <w:p w14:paraId="7E3E7EFA"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1F4C11" w:rsidRPr="007D0DCD" w14:paraId="28D5F60A" w14:textId="77777777" w:rsidTr="553986A7">
        <w:tc>
          <w:tcPr>
            <w:tcW w:w="2932" w:type="dxa"/>
            <w:tcBorders>
              <w:top w:val="single" w:sz="12" w:space="0" w:color="auto"/>
              <w:left w:val="single" w:sz="12" w:space="0" w:color="auto"/>
              <w:bottom w:val="single" w:sz="6" w:space="0" w:color="auto"/>
              <w:right w:val="single" w:sz="6" w:space="0" w:color="auto"/>
            </w:tcBorders>
          </w:tcPr>
          <w:p w14:paraId="3E9A3D66"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3E324035" w14:textId="6649380B" w:rsidR="001F4C11" w:rsidRPr="007D0DCD" w:rsidRDefault="00813DEE" w:rsidP="001F4C11">
            <w:pPr>
              <w:spacing w:before="120" w:after="120"/>
              <w:rPr>
                <w:rFonts w:ascii="Calibri" w:eastAsia="Times New Roman" w:hAnsi="Calibri" w:cs="Arial"/>
                <w:lang w:eastAsia="en-GB"/>
              </w:rPr>
            </w:pPr>
            <w:r w:rsidRPr="00813DEE">
              <w:rPr>
                <w:rFonts w:ascii="Calibri" w:eastAsia="Times New Roman" w:hAnsi="Calibri" w:cs="Arial"/>
                <w:lang w:eastAsia="en-GB"/>
              </w:rPr>
              <w:t>Tenancy Fraud Policy</w:t>
            </w:r>
          </w:p>
        </w:tc>
      </w:tr>
      <w:tr w:rsidR="001F4C11" w:rsidRPr="007D0DCD" w14:paraId="010A2A18" w14:textId="77777777" w:rsidTr="553986A7">
        <w:tc>
          <w:tcPr>
            <w:tcW w:w="2932" w:type="dxa"/>
            <w:tcBorders>
              <w:top w:val="single" w:sz="6" w:space="0" w:color="auto"/>
              <w:left w:val="single" w:sz="12" w:space="0" w:color="auto"/>
              <w:bottom w:val="single" w:sz="6" w:space="0" w:color="auto"/>
              <w:right w:val="single" w:sz="6" w:space="0" w:color="auto"/>
            </w:tcBorders>
          </w:tcPr>
          <w:p w14:paraId="334CADBB"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1FB1BF72" w14:textId="0B5F66CF" w:rsidR="001F4C11" w:rsidRPr="007D0DCD" w:rsidRDefault="00DE372B" w:rsidP="001F4C11">
            <w:pPr>
              <w:spacing w:before="120" w:after="120"/>
              <w:rPr>
                <w:rFonts w:ascii="Calibri" w:eastAsia="Times New Roman" w:hAnsi="Calibri" w:cs="Arial"/>
                <w:lang w:eastAsia="en-GB"/>
              </w:rPr>
            </w:pPr>
            <w:r w:rsidRPr="00813DEE">
              <w:rPr>
                <w:rFonts w:ascii="Calibri" w:eastAsia="Times New Roman" w:hAnsi="Calibri" w:cs="Arial"/>
                <w:color w:val="4F6228" w:themeColor="accent3" w:themeShade="80"/>
                <w:lang w:eastAsia="en-GB"/>
              </w:rPr>
              <w:t>Final</w:t>
            </w:r>
            <w:r w:rsidR="00813DEE" w:rsidRPr="00813DEE">
              <w:rPr>
                <w:rFonts w:ascii="Calibri" w:eastAsia="Times New Roman" w:hAnsi="Calibri" w:cs="Arial"/>
                <w:color w:val="4F6228" w:themeColor="accent3" w:themeShade="80"/>
                <w:lang w:eastAsia="en-GB"/>
              </w:rPr>
              <w:t>/Approved</w:t>
            </w:r>
          </w:p>
        </w:tc>
      </w:tr>
      <w:tr w:rsidR="001F4C11" w:rsidRPr="007D0DCD" w14:paraId="5B6EBDCD" w14:textId="77777777" w:rsidTr="553986A7">
        <w:tc>
          <w:tcPr>
            <w:tcW w:w="2932" w:type="dxa"/>
            <w:tcBorders>
              <w:top w:val="single" w:sz="6" w:space="0" w:color="auto"/>
              <w:left w:val="single" w:sz="12" w:space="0" w:color="auto"/>
              <w:bottom w:val="single" w:sz="6" w:space="0" w:color="auto"/>
              <w:right w:val="single" w:sz="6" w:space="0" w:color="auto"/>
            </w:tcBorders>
          </w:tcPr>
          <w:p w14:paraId="7DFD9E9A"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05BA6985" w14:textId="306D97E1" w:rsidR="001F4C11" w:rsidRPr="00813DEE" w:rsidRDefault="00813DEE" w:rsidP="00DE372B">
            <w:pPr>
              <w:spacing w:before="120" w:after="120"/>
              <w:jc w:val="left"/>
              <w:rPr>
                <w:rFonts w:ascii="Calibri" w:eastAsia="Times New Roman" w:hAnsi="Calibri" w:cs="Arial"/>
                <w:color w:val="4F6228" w:themeColor="accent3" w:themeShade="80"/>
                <w:lang w:eastAsia="en-GB"/>
              </w:rPr>
            </w:pPr>
            <w:r w:rsidRPr="00813DEE">
              <w:rPr>
                <w:rFonts w:ascii="Calibri" w:eastAsia="Times New Roman" w:hAnsi="Calibri" w:cs="Arial"/>
                <w:color w:val="4F6228" w:themeColor="accent3" w:themeShade="80"/>
                <w:lang w:eastAsia="en-GB"/>
              </w:rPr>
              <w:t>Executive Management Team</w:t>
            </w:r>
          </w:p>
        </w:tc>
      </w:tr>
      <w:tr w:rsidR="001F4C11" w:rsidRPr="007D0DCD" w14:paraId="7C311D3B" w14:textId="77777777" w:rsidTr="553986A7">
        <w:tc>
          <w:tcPr>
            <w:tcW w:w="2932" w:type="dxa"/>
            <w:tcBorders>
              <w:top w:val="single" w:sz="6" w:space="0" w:color="auto"/>
              <w:left w:val="single" w:sz="12" w:space="0" w:color="auto"/>
              <w:bottom w:val="single" w:sz="6" w:space="0" w:color="auto"/>
              <w:right w:val="single" w:sz="6" w:space="0" w:color="auto"/>
            </w:tcBorders>
          </w:tcPr>
          <w:p w14:paraId="42743AF0"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0005DE63" w14:textId="65569BDC" w:rsidR="001F4C11" w:rsidRPr="00813DEE" w:rsidRDefault="00813DEE" w:rsidP="001F4C11">
            <w:pPr>
              <w:spacing w:before="120" w:after="120"/>
              <w:rPr>
                <w:rFonts w:ascii="Calibri" w:eastAsia="Times New Roman" w:hAnsi="Calibri" w:cs="Arial"/>
                <w:color w:val="4F6228" w:themeColor="accent3" w:themeShade="80"/>
                <w:lang w:eastAsia="en-GB"/>
              </w:rPr>
            </w:pPr>
            <w:r w:rsidRPr="00813DEE">
              <w:rPr>
                <w:rFonts w:ascii="Calibri" w:eastAsia="Times New Roman" w:hAnsi="Calibri" w:cs="Arial"/>
                <w:color w:val="4F6228" w:themeColor="accent3" w:themeShade="80"/>
                <w:lang w:eastAsia="en-GB"/>
              </w:rPr>
              <w:t>Head of Neighbourhoods</w:t>
            </w:r>
          </w:p>
        </w:tc>
      </w:tr>
      <w:tr w:rsidR="001F4C11" w:rsidRPr="007D0DCD" w14:paraId="76FA179C" w14:textId="77777777" w:rsidTr="553986A7">
        <w:tc>
          <w:tcPr>
            <w:tcW w:w="2932" w:type="dxa"/>
            <w:tcBorders>
              <w:top w:val="single" w:sz="6" w:space="0" w:color="auto"/>
              <w:left w:val="single" w:sz="12" w:space="0" w:color="auto"/>
              <w:bottom w:val="single" w:sz="6" w:space="0" w:color="auto"/>
              <w:right w:val="single" w:sz="6" w:space="0" w:color="auto"/>
            </w:tcBorders>
          </w:tcPr>
          <w:p w14:paraId="033B5327"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15F1C408" w14:textId="1B0AAFA8" w:rsidR="001F4C11" w:rsidRPr="007D0DCD" w:rsidRDefault="00813DEE" w:rsidP="001F4C11">
            <w:pPr>
              <w:spacing w:before="120" w:after="120"/>
              <w:rPr>
                <w:rFonts w:ascii="Calibri" w:eastAsia="Times New Roman" w:hAnsi="Calibri" w:cs="Arial"/>
                <w:lang w:eastAsia="en-GB"/>
              </w:rPr>
            </w:pPr>
            <w:r w:rsidRPr="00813DEE">
              <w:rPr>
                <w:rFonts w:ascii="Calibri" w:eastAsia="Times New Roman" w:hAnsi="Calibri" w:cs="Arial"/>
                <w:color w:val="4F6228" w:themeColor="accent3" w:themeShade="80"/>
                <w:lang w:eastAsia="en-GB"/>
              </w:rPr>
              <w:t>26</w:t>
            </w:r>
            <w:r w:rsidRPr="00813DEE">
              <w:rPr>
                <w:rFonts w:ascii="Calibri" w:eastAsia="Times New Roman" w:hAnsi="Calibri" w:cs="Arial"/>
                <w:color w:val="4F6228" w:themeColor="accent3" w:themeShade="80"/>
                <w:vertAlign w:val="superscript"/>
                <w:lang w:eastAsia="en-GB"/>
              </w:rPr>
              <w:t>th</w:t>
            </w:r>
            <w:r w:rsidRPr="00813DEE">
              <w:rPr>
                <w:rFonts w:ascii="Calibri" w:eastAsia="Times New Roman" w:hAnsi="Calibri" w:cs="Arial"/>
                <w:color w:val="4F6228" w:themeColor="accent3" w:themeShade="80"/>
                <w:lang w:eastAsia="en-GB"/>
              </w:rPr>
              <w:t xml:space="preserve"> January 2024</w:t>
            </w:r>
          </w:p>
        </w:tc>
      </w:tr>
      <w:tr w:rsidR="001F4C11" w:rsidRPr="007D0DCD" w14:paraId="28DBB486" w14:textId="77777777" w:rsidTr="553986A7">
        <w:tc>
          <w:tcPr>
            <w:tcW w:w="2932" w:type="dxa"/>
            <w:tcBorders>
              <w:top w:val="single" w:sz="6" w:space="0" w:color="auto"/>
              <w:left w:val="single" w:sz="12" w:space="0" w:color="auto"/>
              <w:bottom w:val="single" w:sz="6" w:space="0" w:color="auto"/>
              <w:right w:val="single" w:sz="6" w:space="0" w:color="auto"/>
            </w:tcBorders>
          </w:tcPr>
          <w:p w14:paraId="7368AF0F"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1210C82A" w14:textId="56569A1F" w:rsidR="001F4C11" w:rsidRPr="007D0DCD" w:rsidRDefault="00813DEE" w:rsidP="001F4C11">
            <w:pPr>
              <w:spacing w:before="120" w:after="120"/>
              <w:rPr>
                <w:rFonts w:ascii="Calibri" w:eastAsia="Times New Roman" w:hAnsi="Calibri" w:cs="Arial"/>
                <w:lang w:eastAsia="en-GB"/>
              </w:rPr>
            </w:pPr>
            <w:r w:rsidRPr="00813DEE">
              <w:rPr>
                <w:rFonts w:ascii="Calibri" w:eastAsia="Times New Roman" w:hAnsi="Calibri" w:cs="Arial"/>
                <w:color w:val="4F6228" w:themeColor="accent3" w:themeShade="80"/>
                <w:lang w:eastAsia="en-GB"/>
              </w:rPr>
              <w:t>January 2027</w:t>
            </w:r>
          </w:p>
        </w:tc>
      </w:tr>
    </w:tbl>
    <w:p w14:paraId="58880294" w14:textId="3B988AF0" w:rsidR="00532B4E" w:rsidRPr="00601BEC" w:rsidRDefault="00532B4E" w:rsidP="00601BEC">
      <w:pPr>
        <w:rPr>
          <w:rFonts w:eastAsia="Times New Roman"/>
          <w:b/>
          <w:color w:val="7AC142"/>
          <w:szCs w:val="20"/>
        </w:rPr>
      </w:pPr>
    </w:p>
    <w:p w14:paraId="74D7DE13" w14:textId="77777777" w:rsidR="001F4C11" w:rsidRDefault="001F4C11" w:rsidP="001F4C11"/>
    <w:p w14:paraId="186F77D7" w14:textId="77777777" w:rsidR="001F4C11" w:rsidRPr="001F4C11" w:rsidRDefault="001F4C11" w:rsidP="001F4C11"/>
    <w:sectPr w:rsidR="001F4C11" w:rsidRPr="001F4C11" w:rsidSect="003B2DFD">
      <w:footerReference w:type="default" r:id="rId19"/>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9269" w14:textId="77777777" w:rsidR="000D655A" w:rsidRDefault="000D655A" w:rsidP="009A40E5">
      <w:r>
        <w:separator/>
      </w:r>
    </w:p>
  </w:endnote>
  <w:endnote w:type="continuationSeparator" w:id="0">
    <w:p w14:paraId="7340EE76" w14:textId="77777777" w:rsidR="000D655A" w:rsidRDefault="000D655A" w:rsidP="009A40E5">
      <w:r>
        <w:continuationSeparator/>
      </w:r>
    </w:p>
  </w:endnote>
  <w:endnote w:type="continuationNotice" w:id="1">
    <w:p w14:paraId="7FCC58B8" w14:textId="77777777" w:rsidR="00AE394F" w:rsidRDefault="00AE3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400" w14:textId="77777777" w:rsidR="000B34DB" w:rsidRDefault="000B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E603" w14:textId="77777777" w:rsidR="000B34DB" w:rsidRPr="007D0DCD" w:rsidRDefault="000B34DB" w:rsidP="000F4E87">
    <w:pPr>
      <w:pStyle w:val="Footer"/>
      <w:rPr>
        <w:rFonts w:cs="Arial"/>
      </w:rPr>
    </w:pPr>
    <w:r>
      <w:rPr>
        <w:noProof/>
        <w:color w:val="2B579A"/>
        <w:shd w:val="clear" w:color="auto" w:fill="E6E6E6"/>
        <w:lang w:eastAsia="en-GB"/>
      </w:rPr>
      <w:drawing>
        <wp:anchor distT="0" distB="0" distL="114300" distR="114300" simplePos="0" relativeHeight="251658241" behindDoc="0" locked="0" layoutInCell="1" allowOverlap="1" wp14:anchorId="4E125BF1" wp14:editId="315E075D">
          <wp:simplePos x="0" y="0"/>
          <wp:positionH relativeFrom="column">
            <wp:posOffset>4107815</wp:posOffset>
          </wp:positionH>
          <wp:positionV relativeFrom="paragraph">
            <wp:posOffset>-287020</wp:posOffset>
          </wp:positionV>
          <wp:extent cx="219075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2064" w14:textId="77777777" w:rsidR="000B34DB" w:rsidRDefault="000B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C5F7" w14:textId="77777777" w:rsidR="000B34DB" w:rsidRPr="00E3112F" w:rsidRDefault="000B34DB" w:rsidP="000F4E87">
    <w:pPr>
      <w:pStyle w:val="Footer"/>
      <w:rPr>
        <w:rFonts w:cs="Arial"/>
        <w:sz w:val="28"/>
      </w:rPr>
    </w:pPr>
    <w:r w:rsidRPr="00E3112F">
      <w:rPr>
        <w:noProof/>
        <w:color w:val="2B579A"/>
        <w:sz w:val="28"/>
        <w:shd w:val="clear" w:color="auto" w:fill="E6E6E6"/>
        <w:lang w:eastAsia="en-GB"/>
      </w:rPr>
      <w:drawing>
        <wp:anchor distT="0" distB="0" distL="114300" distR="114300" simplePos="0" relativeHeight="251658240" behindDoc="0" locked="0" layoutInCell="1" allowOverlap="1" wp14:anchorId="7F4D5A51" wp14:editId="558EC5F8">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color w:val="2B579A"/>
        <w:sz w:val="18"/>
        <w:szCs w:val="16"/>
        <w:shd w:val="clear" w:color="auto" w:fill="E6E6E6"/>
      </w:rPr>
      <w:fldChar w:fldCharType="begin"/>
    </w:r>
    <w:r w:rsidRPr="00E3112F">
      <w:rPr>
        <w:rFonts w:cs="Arial"/>
        <w:sz w:val="18"/>
        <w:szCs w:val="16"/>
      </w:rPr>
      <w:instrText xml:space="preserve"> PAGE </w:instrText>
    </w:r>
    <w:r w:rsidRPr="00E3112F">
      <w:rPr>
        <w:rFonts w:cs="Arial"/>
        <w:color w:val="2B579A"/>
        <w:sz w:val="18"/>
        <w:szCs w:val="16"/>
        <w:shd w:val="clear" w:color="auto" w:fill="E6E6E6"/>
      </w:rPr>
      <w:fldChar w:fldCharType="separate"/>
    </w:r>
    <w:r w:rsidR="00DD6A8A">
      <w:rPr>
        <w:rFonts w:cs="Arial"/>
        <w:noProof/>
        <w:sz w:val="18"/>
        <w:szCs w:val="16"/>
      </w:rPr>
      <w:t>1</w:t>
    </w:r>
    <w:r w:rsidRPr="00E3112F">
      <w:rPr>
        <w:rFonts w:cs="Arial"/>
        <w:color w:val="2B579A"/>
        <w:sz w:val="18"/>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C314" w14:textId="77777777" w:rsidR="000D655A" w:rsidRDefault="000D655A" w:rsidP="009A40E5">
      <w:r>
        <w:separator/>
      </w:r>
    </w:p>
  </w:footnote>
  <w:footnote w:type="continuationSeparator" w:id="0">
    <w:p w14:paraId="074E2167" w14:textId="77777777" w:rsidR="000D655A" w:rsidRDefault="000D655A" w:rsidP="009A40E5">
      <w:r>
        <w:continuationSeparator/>
      </w:r>
    </w:p>
  </w:footnote>
  <w:footnote w:type="continuationNotice" w:id="1">
    <w:p w14:paraId="287684E7" w14:textId="77777777" w:rsidR="00AE394F" w:rsidRDefault="00AE3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6865" w14:textId="77777777" w:rsidR="000B34DB" w:rsidRDefault="000B34DB">
    <w:pPr>
      <w:pStyle w:val="Header"/>
    </w:pPr>
  </w:p>
  <w:p w14:paraId="2715DA1D" w14:textId="77777777" w:rsidR="000B34DB" w:rsidRDefault="000B3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642A" w14:textId="77777777" w:rsidR="000B34DB" w:rsidRDefault="000B34DB" w:rsidP="00DE5D43">
    <w:pPr>
      <w:pStyle w:val="Footer"/>
      <w:tabs>
        <w:tab w:val="clear" w:pos="4320"/>
        <w:tab w:val="clear" w:pos="8640"/>
        <w:tab w:val="left" w:pos="6045"/>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A3BC" w14:textId="77777777" w:rsidR="000B34DB" w:rsidRDefault="000B34D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Y5mJ9ds" int2:invalidationBookmarkName="" int2:hashCode="mWkNWNSr0QzQk4" int2:id="CGl7D8uk">
      <int2:state int2:value="Rejected" int2:type="AugLoop_Text_Critique"/>
    </int2:bookmark>
    <int2:bookmark int2:bookmarkName="_Int_VXgdyBNv" int2:invalidationBookmarkName="" int2:hashCode="ISQDfKZqM8FMSE" int2:id="CTYqQmc5">
      <int2:state int2:value="Rejected" int2:type="AugLoop_Text_Critique"/>
    </int2:bookmark>
    <int2:bookmark int2:bookmarkName="_Int_Vlli7IWK" int2:invalidationBookmarkName="" int2:hashCode="Hl7AA7SkXgmZVG" int2:id="YSg1We2P">
      <int2:state int2:value="Rejected" int2:type="AugLoop_Text_Critique"/>
    </int2:bookmark>
    <int2:bookmark int2:bookmarkName="_Int_UXyTcgT0" int2:invalidationBookmarkName="" int2:hashCode="VRd/LyDcPFdCnc" int2:id="ZQz1IkdV">
      <int2:state int2:value="Rejected" int2:type="AugLoop_Text_Critique"/>
    </int2:bookmark>
    <int2:bookmark int2:bookmarkName="_Int_ycz2VM0O" int2:invalidationBookmarkName="" int2:hashCode="0lXQ0GySJQ8tJA" int2:id="e9CNYEk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908EF"/>
    <w:multiLevelType w:val="hybridMultilevel"/>
    <w:tmpl w:val="D37E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C4E05"/>
    <w:multiLevelType w:val="hybridMultilevel"/>
    <w:tmpl w:val="A0DCB4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92903"/>
    <w:multiLevelType w:val="hybridMultilevel"/>
    <w:tmpl w:val="C8CA8258"/>
    <w:lvl w:ilvl="0" w:tplc="08A85C64">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D7673"/>
    <w:multiLevelType w:val="hybridMultilevel"/>
    <w:tmpl w:val="6AACD596"/>
    <w:lvl w:ilvl="0" w:tplc="AC82627A">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15978"/>
    <w:multiLevelType w:val="hybridMultilevel"/>
    <w:tmpl w:val="5D0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7D42C1"/>
    <w:multiLevelType w:val="hybridMultilevel"/>
    <w:tmpl w:val="6F6A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F57B5"/>
    <w:multiLevelType w:val="hybridMultilevel"/>
    <w:tmpl w:val="0AE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7BDF6C03"/>
    <w:multiLevelType w:val="hybridMultilevel"/>
    <w:tmpl w:val="672C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04903"/>
    <w:multiLevelType w:val="hybridMultilevel"/>
    <w:tmpl w:val="9F3E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593188">
    <w:abstractNumId w:val="1"/>
  </w:num>
  <w:num w:numId="2" w16cid:durableId="337271752">
    <w:abstractNumId w:val="8"/>
  </w:num>
  <w:num w:numId="3" w16cid:durableId="761604562">
    <w:abstractNumId w:val="20"/>
  </w:num>
  <w:num w:numId="4" w16cid:durableId="1609040054">
    <w:abstractNumId w:val="17"/>
  </w:num>
  <w:num w:numId="5" w16cid:durableId="477308063">
    <w:abstractNumId w:val="25"/>
  </w:num>
  <w:num w:numId="6" w16cid:durableId="1238857130">
    <w:abstractNumId w:val="10"/>
  </w:num>
  <w:num w:numId="7" w16cid:durableId="717825293">
    <w:abstractNumId w:val="15"/>
  </w:num>
  <w:num w:numId="8" w16cid:durableId="1502889149">
    <w:abstractNumId w:val="12"/>
  </w:num>
  <w:num w:numId="9" w16cid:durableId="549076832">
    <w:abstractNumId w:val="22"/>
  </w:num>
  <w:num w:numId="10" w16cid:durableId="157575339">
    <w:abstractNumId w:val="5"/>
  </w:num>
  <w:num w:numId="11" w16cid:durableId="475683491">
    <w:abstractNumId w:val="23"/>
  </w:num>
  <w:num w:numId="12" w16cid:durableId="1399131452">
    <w:abstractNumId w:val="14"/>
  </w:num>
  <w:num w:numId="13" w16cid:durableId="2028558857">
    <w:abstractNumId w:val="13"/>
  </w:num>
  <w:num w:numId="14" w16cid:durableId="198471552">
    <w:abstractNumId w:val="2"/>
  </w:num>
  <w:num w:numId="15" w16cid:durableId="1770347220">
    <w:abstractNumId w:val="0"/>
  </w:num>
  <w:num w:numId="16" w16cid:durableId="1481650486">
    <w:abstractNumId w:val="4"/>
  </w:num>
  <w:num w:numId="17" w16cid:durableId="55856268">
    <w:abstractNumId w:val="11"/>
  </w:num>
  <w:num w:numId="18" w16cid:durableId="1541942543">
    <w:abstractNumId w:val="3"/>
  </w:num>
  <w:num w:numId="19" w16cid:durableId="1939411976">
    <w:abstractNumId w:val="18"/>
  </w:num>
  <w:num w:numId="20" w16cid:durableId="133571694">
    <w:abstractNumId w:val="19"/>
  </w:num>
  <w:num w:numId="21" w16cid:durableId="1183979778">
    <w:abstractNumId w:val="9"/>
  </w:num>
  <w:num w:numId="22" w16cid:durableId="1835605080">
    <w:abstractNumId w:val="26"/>
  </w:num>
  <w:num w:numId="23" w16cid:durableId="155154292">
    <w:abstractNumId w:val="16"/>
  </w:num>
  <w:num w:numId="24" w16cid:durableId="1341587985">
    <w:abstractNumId w:val="27"/>
  </w:num>
  <w:num w:numId="25" w16cid:durableId="1209494799">
    <w:abstractNumId w:val="6"/>
  </w:num>
  <w:num w:numId="26" w16cid:durableId="144471227">
    <w:abstractNumId w:val="21"/>
  </w:num>
  <w:num w:numId="27" w16cid:durableId="448012553">
    <w:abstractNumId w:val="7"/>
  </w:num>
  <w:num w:numId="28" w16cid:durableId="1355686549">
    <w:abstractNumId w:val="24"/>
  </w:num>
  <w:num w:numId="29" w16cid:durableId="87827627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5A"/>
    <w:rsid w:val="000114C6"/>
    <w:rsid w:val="0002426D"/>
    <w:rsid w:val="00024410"/>
    <w:rsid w:val="000308D6"/>
    <w:rsid w:val="00050C97"/>
    <w:rsid w:val="000663CE"/>
    <w:rsid w:val="00072168"/>
    <w:rsid w:val="000847E0"/>
    <w:rsid w:val="000A0CE1"/>
    <w:rsid w:val="000B34DB"/>
    <w:rsid w:val="000B6E39"/>
    <w:rsid w:val="000C4D81"/>
    <w:rsid w:val="000D655A"/>
    <w:rsid w:val="000E17A8"/>
    <w:rsid w:val="000E3C18"/>
    <w:rsid w:val="000E5234"/>
    <w:rsid w:val="000F1A9F"/>
    <w:rsid w:val="000F4E87"/>
    <w:rsid w:val="000F5A6A"/>
    <w:rsid w:val="00111CBA"/>
    <w:rsid w:val="00123A13"/>
    <w:rsid w:val="00141433"/>
    <w:rsid w:val="0014181A"/>
    <w:rsid w:val="00155BE2"/>
    <w:rsid w:val="001771D6"/>
    <w:rsid w:val="00192D8C"/>
    <w:rsid w:val="001B0C08"/>
    <w:rsid w:val="001C195E"/>
    <w:rsid w:val="001D0B3C"/>
    <w:rsid w:val="001F4C11"/>
    <w:rsid w:val="0020122D"/>
    <w:rsid w:val="00205259"/>
    <w:rsid w:val="00214540"/>
    <w:rsid w:val="00223696"/>
    <w:rsid w:val="00235F85"/>
    <w:rsid w:val="00237822"/>
    <w:rsid w:val="00246DD9"/>
    <w:rsid w:val="00247C6B"/>
    <w:rsid w:val="00281D65"/>
    <w:rsid w:val="002835A6"/>
    <w:rsid w:val="00290213"/>
    <w:rsid w:val="002A1DD3"/>
    <w:rsid w:val="002A1E22"/>
    <w:rsid w:val="002B50DE"/>
    <w:rsid w:val="002E0196"/>
    <w:rsid w:val="002E7E6E"/>
    <w:rsid w:val="002F1FBB"/>
    <w:rsid w:val="002F6268"/>
    <w:rsid w:val="00337E22"/>
    <w:rsid w:val="00356136"/>
    <w:rsid w:val="00371543"/>
    <w:rsid w:val="003A331B"/>
    <w:rsid w:val="003A3C6A"/>
    <w:rsid w:val="003B2DFD"/>
    <w:rsid w:val="003C1B99"/>
    <w:rsid w:val="003D3BBE"/>
    <w:rsid w:val="003E601A"/>
    <w:rsid w:val="003F0678"/>
    <w:rsid w:val="003F75CD"/>
    <w:rsid w:val="004079F8"/>
    <w:rsid w:val="004111A5"/>
    <w:rsid w:val="004122DB"/>
    <w:rsid w:val="0042502D"/>
    <w:rsid w:val="00431319"/>
    <w:rsid w:val="00433AB2"/>
    <w:rsid w:val="00437A68"/>
    <w:rsid w:val="00437DBE"/>
    <w:rsid w:val="00443920"/>
    <w:rsid w:val="00461965"/>
    <w:rsid w:val="00486FD7"/>
    <w:rsid w:val="00494C56"/>
    <w:rsid w:val="00494CEE"/>
    <w:rsid w:val="00496BFE"/>
    <w:rsid w:val="004C1BC2"/>
    <w:rsid w:val="004C7B80"/>
    <w:rsid w:val="004E6D28"/>
    <w:rsid w:val="00501107"/>
    <w:rsid w:val="00502F76"/>
    <w:rsid w:val="00512F19"/>
    <w:rsid w:val="005144D0"/>
    <w:rsid w:val="005157B6"/>
    <w:rsid w:val="005301B4"/>
    <w:rsid w:val="00532B4E"/>
    <w:rsid w:val="00537B20"/>
    <w:rsid w:val="005772C3"/>
    <w:rsid w:val="00583525"/>
    <w:rsid w:val="005850A4"/>
    <w:rsid w:val="00591976"/>
    <w:rsid w:val="005927A0"/>
    <w:rsid w:val="00592FEA"/>
    <w:rsid w:val="005A5CFE"/>
    <w:rsid w:val="005B4317"/>
    <w:rsid w:val="005C203B"/>
    <w:rsid w:val="005C61DF"/>
    <w:rsid w:val="005E0F6D"/>
    <w:rsid w:val="005E1EEF"/>
    <w:rsid w:val="005E63A7"/>
    <w:rsid w:val="00601BEC"/>
    <w:rsid w:val="006404AD"/>
    <w:rsid w:val="00664FA6"/>
    <w:rsid w:val="00671F42"/>
    <w:rsid w:val="00674F29"/>
    <w:rsid w:val="00675C12"/>
    <w:rsid w:val="006A6277"/>
    <w:rsid w:val="006D08A6"/>
    <w:rsid w:val="006D6DBC"/>
    <w:rsid w:val="0070727C"/>
    <w:rsid w:val="007161B2"/>
    <w:rsid w:val="0072744D"/>
    <w:rsid w:val="007356F0"/>
    <w:rsid w:val="0075576F"/>
    <w:rsid w:val="007678FD"/>
    <w:rsid w:val="0077001B"/>
    <w:rsid w:val="0077501C"/>
    <w:rsid w:val="00777E0C"/>
    <w:rsid w:val="007A3813"/>
    <w:rsid w:val="007B06DD"/>
    <w:rsid w:val="007C238D"/>
    <w:rsid w:val="007D0DCD"/>
    <w:rsid w:val="00812E90"/>
    <w:rsid w:val="00813DEE"/>
    <w:rsid w:val="0081585A"/>
    <w:rsid w:val="00827935"/>
    <w:rsid w:val="008301BE"/>
    <w:rsid w:val="00842F60"/>
    <w:rsid w:val="00886DB9"/>
    <w:rsid w:val="008A6C24"/>
    <w:rsid w:val="008C36B1"/>
    <w:rsid w:val="008D2C73"/>
    <w:rsid w:val="008D4761"/>
    <w:rsid w:val="008D556E"/>
    <w:rsid w:val="00921AD4"/>
    <w:rsid w:val="0092392B"/>
    <w:rsid w:val="00925592"/>
    <w:rsid w:val="0093600A"/>
    <w:rsid w:val="00957C36"/>
    <w:rsid w:val="009855DF"/>
    <w:rsid w:val="0098734C"/>
    <w:rsid w:val="00994C8D"/>
    <w:rsid w:val="00996ED5"/>
    <w:rsid w:val="009A2992"/>
    <w:rsid w:val="009A40E5"/>
    <w:rsid w:val="009A5DF2"/>
    <w:rsid w:val="009C1379"/>
    <w:rsid w:val="009C4DDB"/>
    <w:rsid w:val="009C5B2C"/>
    <w:rsid w:val="009D2345"/>
    <w:rsid w:val="009D3D6D"/>
    <w:rsid w:val="009E2837"/>
    <w:rsid w:val="009F0B66"/>
    <w:rsid w:val="00A064EB"/>
    <w:rsid w:val="00A569FA"/>
    <w:rsid w:val="00A93137"/>
    <w:rsid w:val="00A93B6F"/>
    <w:rsid w:val="00A96718"/>
    <w:rsid w:val="00AA2694"/>
    <w:rsid w:val="00AB3089"/>
    <w:rsid w:val="00AD14B9"/>
    <w:rsid w:val="00AD33B1"/>
    <w:rsid w:val="00AD5FCF"/>
    <w:rsid w:val="00AE394F"/>
    <w:rsid w:val="00B056B9"/>
    <w:rsid w:val="00B06B2A"/>
    <w:rsid w:val="00B24805"/>
    <w:rsid w:val="00B41462"/>
    <w:rsid w:val="00B54DF7"/>
    <w:rsid w:val="00B605DA"/>
    <w:rsid w:val="00B63279"/>
    <w:rsid w:val="00BA26F4"/>
    <w:rsid w:val="00BA5AF4"/>
    <w:rsid w:val="00BB4B57"/>
    <w:rsid w:val="00BD7A42"/>
    <w:rsid w:val="00C13811"/>
    <w:rsid w:val="00C45380"/>
    <w:rsid w:val="00C640E7"/>
    <w:rsid w:val="00C80782"/>
    <w:rsid w:val="00C8582C"/>
    <w:rsid w:val="00C92862"/>
    <w:rsid w:val="00C942AB"/>
    <w:rsid w:val="00CB2961"/>
    <w:rsid w:val="00CC18FE"/>
    <w:rsid w:val="00CC6232"/>
    <w:rsid w:val="00CD7B05"/>
    <w:rsid w:val="00CE41B5"/>
    <w:rsid w:val="00CE7F21"/>
    <w:rsid w:val="00CF24A3"/>
    <w:rsid w:val="00CF66F3"/>
    <w:rsid w:val="00D21188"/>
    <w:rsid w:val="00D27A0F"/>
    <w:rsid w:val="00D36CFF"/>
    <w:rsid w:val="00D429F4"/>
    <w:rsid w:val="00D62C70"/>
    <w:rsid w:val="00D64779"/>
    <w:rsid w:val="00D83AAE"/>
    <w:rsid w:val="00D91C06"/>
    <w:rsid w:val="00D966BD"/>
    <w:rsid w:val="00DB2331"/>
    <w:rsid w:val="00DD6A8A"/>
    <w:rsid w:val="00DD6EC6"/>
    <w:rsid w:val="00DE372B"/>
    <w:rsid w:val="00DE5D43"/>
    <w:rsid w:val="00DF1124"/>
    <w:rsid w:val="00E02DA2"/>
    <w:rsid w:val="00E04667"/>
    <w:rsid w:val="00E056C3"/>
    <w:rsid w:val="00E11AD3"/>
    <w:rsid w:val="00E1550F"/>
    <w:rsid w:val="00E214BA"/>
    <w:rsid w:val="00E23AA2"/>
    <w:rsid w:val="00E3112F"/>
    <w:rsid w:val="00E35D61"/>
    <w:rsid w:val="00E35D8C"/>
    <w:rsid w:val="00E43327"/>
    <w:rsid w:val="00E47C04"/>
    <w:rsid w:val="00E605C8"/>
    <w:rsid w:val="00E67CFA"/>
    <w:rsid w:val="00E81A67"/>
    <w:rsid w:val="00E82464"/>
    <w:rsid w:val="00E859C0"/>
    <w:rsid w:val="00E905ED"/>
    <w:rsid w:val="00E94FDC"/>
    <w:rsid w:val="00EA77F4"/>
    <w:rsid w:val="00EC0708"/>
    <w:rsid w:val="00EC57F0"/>
    <w:rsid w:val="00ED6D62"/>
    <w:rsid w:val="00EF55CC"/>
    <w:rsid w:val="00EF6B92"/>
    <w:rsid w:val="00F13F49"/>
    <w:rsid w:val="00F144F4"/>
    <w:rsid w:val="00F14801"/>
    <w:rsid w:val="00F52644"/>
    <w:rsid w:val="00F671E2"/>
    <w:rsid w:val="00F75A6A"/>
    <w:rsid w:val="00F77E37"/>
    <w:rsid w:val="00F81BB5"/>
    <w:rsid w:val="00F94155"/>
    <w:rsid w:val="00FA430B"/>
    <w:rsid w:val="00FC1B71"/>
    <w:rsid w:val="00FC4FE6"/>
    <w:rsid w:val="00FD38B8"/>
    <w:rsid w:val="00FE447D"/>
    <w:rsid w:val="00FF591A"/>
    <w:rsid w:val="02F3AE84"/>
    <w:rsid w:val="05EFFE67"/>
    <w:rsid w:val="0A60BA68"/>
    <w:rsid w:val="0B765A27"/>
    <w:rsid w:val="103556AA"/>
    <w:rsid w:val="11D3E15F"/>
    <w:rsid w:val="157AF2EE"/>
    <w:rsid w:val="1BED8CC7"/>
    <w:rsid w:val="1D322B19"/>
    <w:rsid w:val="1F790F96"/>
    <w:rsid w:val="20B14AEE"/>
    <w:rsid w:val="221D65DE"/>
    <w:rsid w:val="23762C30"/>
    <w:rsid w:val="28E44B78"/>
    <w:rsid w:val="2ACFA1C8"/>
    <w:rsid w:val="2C0CC0B7"/>
    <w:rsid w:val="2CEB3AFE"/>
    <w:rsid w:val="36DD5DE9"/>
    <w:rsid w:val="37CBDA6A"/>
    <w:rsid w:val="3B1E0C68"/>
    <w:rsid w:val="437D07E0"/>
    <w:rsid w:val="467DE280"/>
    <w:rsid w:val="50469433"/>
    <w:rsid w:val="539171C3"/>
    <w:rsid w:val="553986A7"/>
    <w:rsid w:val="5C3BFFBE"/>
    <w:rsid w:val="6144D6F3"/>
    <w:rsid w:val="6D1F3DF2"/>
    <w:rsid w:val="75D0B9CB"/>
    <w:rsid w:val="7E52D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A71E0"/>
  <w15:docId w15:val="{4D16E183-D263-4B0B-866F-BCFC0DD9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3C1B99"/>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paragraph" w:styleId="Revision">
    <w:name w:val="Revision"/>
    <w:hidden/>
    <w:uiPriority w:val="99"/>
    <w:semiHidden/>
    <w:rsid w:val="004079F8"/>
    <w:pPr>
      <w:ind w:left="0" w:firstLine="0"/>
      <w:jc w:val="left"/>
    </w:pPr>
    <w:rPr>
      <w:rFonts w:asciiTheme="minorHAnsi" w:hAnsiTheme="minorHAnsi"/>
      <w:sz w:val="24"/>
      <w:szCs w:val="24"/>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1433"/>
    <w:rPr>
      <w:b/>
      <w:bCs/>
    </w:rPr>
  </w:style>
  <w:style w:type="character" w:customStyle="1" w:styleId="CommentSubjectChar">
    <w:name w:val="Comment Subject Char"/>
    <w:basedOn w:val="CommentTextChar"/>
    <w:link w:val="CommentSubject"/>
    <w:uiPriority w:val="99"/>
    <w:semiHidden/>
    <w:rsid w:val="00141433"/>
    <w:rPr>
      <w:rFonts w:asciiTheme="minorHAnsi" w:hAnsi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b4c8793-b834-4ca9-8f50-9b68e268f646" xsi:nil="true"/>
    <InternalCommsRequired_x003f_ xmlns="db4c8793-b834-4ca9-8f50-9b68e268f646">true</InternalCommsRequired_x003f_>
    <ChangeReason xmlns="db4c8793-b834-4ca9-8f50-9b68e268f646">One Year Update</ChangeReason>
    <LastApproved xmlns="db4c8793-b834-4ca9-8f50-9b68e268f646">2024-01-26T00:00:00+00:00</LastApproved>
    <Reviewer xmlns="db4c8793-b834-4ca9-8f50-9b68e268f646">
      <Value>SMT</Value>
      <Value>Challenge Group</Value>
    </Reviewer>
    <LegalCheck xmlns="db4c8793-b834-4ca9-8f50-9b68e268f646" xsi:nil="true"/>
    <Approver xmlns="db4c8793-b834-4ca9-8f50-9b68e268f646">EMT</Approver>
    <LegalCheckComments xmlns="db4c8793-b834-4ca9-8f50-9b68e268f646" xsi:nil="true"/>
    <Customercommsrequired_x003f_ xmlns="db4c8793-b834-4ca9-8f50-9b68e268f646">true</Customercommsrequired_x003f_>
    <Togoonwebsite_x003f_ xmlns="db4c8793-b834-4ca9-8f50-9b68e268f646">true</Togoonwebsite_x003f_>
    <ApprovalDueDate xmlns="db4c8793-b834-4ca9-8f50-9b68e268f646">2027-01-31T00:00:00+00:00</ApprovalDueDate>
    <Archived xmlns="db4c8793-b834-4ca9-8f50-9b68e268f646">false</Archived>
    <LeadPerson xmlns="db4c8793-b834-4ca9-8f50-9b68e268f646">
      <UserInfo>
        <DisplayName>Steffanie Goalen</DisplayName>
        <AccountId>169</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2026-09-30T23:00:00+00:00</PolicytobeReviewedW_x002f_C>
    <_Flow_SignoffStatus xmlns="db4c8793-b834-4ca9-8f50-9b68e268f646" xsi:nil="true"/>
    <Team_x0020_Library_x0020_Tags xmlns="db4c8793-b834-4ca9-8f50-9b68e268f6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26A47-1C35-433E-902F-0B35CBEE47A5}">
  <ds:schemaRefs>
    <ds:schemaRef ds:uri="http://purl.org/dc/dcmitype/"/>
    <ds:schemaRef ds:uri="2dad36e7-eb71-44d5-8ee6-7b550f03c2eb"/>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5264198d-e7de-4353-be3a-eb65fe17c2f1"/>
  </ds:schemaRefs>
</ds:datastoreItem>
</file>

<file path=customXml/itemProps2.xml><?xml version="1.0" encoding="utf-8"?>
<ds:datastoreItem xmlns:ds="http://schemas.openxmlformats.org/officeDocument/2006/customXml" ds:itemID="{A0F96EB7-6CBC-4C11-81E9-8ED08D5C49FD}"/>
</file>

<file path=customXml/itemProps3.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4.xml><?xml version="1.0" encoding="utf-8"?>
<ds:datastoreItem xmlns:ds="http://schemas.openxmlformats.org/officeDocument/2006/customXml" ds:itemID="{95579330-4E42-40A4-9437-A9965D7EE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Jade Cegielski</dc:creator>
  <cp:keywords/>
  <dc:description/>
  <cp:lastModifiedBy>Jen Hayball</cp:lastModifiedBy>
  <cp:revision>7</cp:revision>
  <cp:lastPrinted>2011-07-13T20:55:00Z</cp:lastPrinted>
  <dcterms:created xsi:type="dcterms:W3CDTF">2024-01-16T15:22:00Z</dcterms:created>
  <dcterms:modified xsi:type="dcterms:W3CDTF">2024-02-07T15:18:00Z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ies>
</file>